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F1118B" w14:paraId="26868154" w14:textId="77777777" w:rsidTr="0047741D">
        <w:trPr>
          <w:gridAfter w:val="1"/>
          <w:wAfter w:w="2835" w:type="dxa"/>
          <w:cantSplit/>
          <w:trHeight w:val="569"/>
        </w:trPr>
        <w:tc>
          <w:tcPr>
            <w:tcW w:w="4786" w:type="dxa"/>
            <w:shd w:val="clear" w:color="auto" w:fill="BFBFBF"/>
            <w:vAlign w:val="center"/>
          </w:tcPr>
          <w:p w14:paraId="26868152" w14:textId="77777777" w:rsidR="002F5C5E" w:rsidRPr="009E2B84" w:rsidRDefault="00FF070F"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686828E" wp14:editId="2686828F">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8291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6868153" w14:textId="77777777" w:rsidR="002F5C5E" w:rsidRPr="009E2B84" w:rsidRDefault="00FF070F" w:rsidP="00AC4A99">
            <w:pPr>
              <w:jc w:val="center"/>
              <w:rPr>
                <w:b/>
              </w:rPr>
            </w:pPr>
            <w:r w:rsidRPr="009E2B84">
              <w:rPr>
                <w:b/>
              </w:rPr>
              <w:t>ON</w:t>
            </w:r>
          </w:p>
        </w:tc>
      </w:tr>
      <w:tr w:rsidR="00F1118B" w14:paraId="26868157" w14:textId="77777777" w:rsidTr="0047741D">
        <w:trPr>
          <w:gridAfter w:val="1"/>
          <w:wAfter w:w="2835" w:type="dxa"/>
          <w:cantSplit/>
          <w:trHeight w:val="654"/>
        </w:trPr>
        <w:tc>
          <w:tcPr>
            <w:tcW w:w="4786" w:type="dxa"/>
            <w:tcBorders>
              <w:bottom w:val="nil"/>
            </w:tcBorders>
            <w:vAlign w:val="center"/>
          </w:tcPr>
          <w:p w14:paraId="26868155" w14:textId="77777777" w:rsidR="002F5C5E" w:rsidRPr="006B58F6" w:rsidRDefault="00FF070F"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26868156" w14:textId="77777777" w:rsidR="006B58F6" w:rsidRPr="006B58F6" w:rsidRDefault="00FF070F"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26</w:t>
            </w:r>
            <w:r w:rsidRPr="006B58F6">
              <w:rPr>
                <w:b/>
              </w:rPr>
              <w:t xml:space="preserve"> November 2019</w:t>
            </w:r>
            <w:r w:rsidRPr="006B58F6">
              <w:rPr>
                <w:b/>
              </w:rPr>
              <w:fldChar w:fldCharType="end"/>
            </w:r>
            <w:r>
              <w:rPr>
                <w:b/>
              </w:rPr>
              <w:t xml:space="preserve"> </w:t>
            </w:r>
          </w:p>
        </w:tc>
      </w:tr>
      <w:tr w:rsidR="00F1118B" w14:paraId="26868159" w14:textId="77777777" w:rsidTr="0047741D">
        <w:trPr>
          <w:gridAfter w:val="1"/>
          <w:wAfter w:w="2835" w:type="dxa"/>
          <w:cantSplit/>
          <w:trHeight w:val="560"/>
        </w:trPr>
        <w:tc>
          <w:tcPr>
            <w:tcW w:w="7054" w:type="dxa"/>
            <w:gridSpan w:val="3"/>
            <w:tcBorders>
              <w:left w:val="nil"/>
              <w:right w:val="nil"/>
            </w:tcBorders>
          </w:tcPr>
          <w:p w14:paraId="26868158" w14:textId="77777777" w:rsidR="002F5C5E" w:rsidRPr="009E2B84" w:rsidRDefault="00FE0CBF" w:rsidP="003902A2">
            <w:pPr>
              <w:jc w:val="right"/>
              <w:rPr>
                <w:sz w:val="8"/>
              </w:rPr>
            </w:pPr>
          </w:p>
        </w:tc>
      </w:tr>
      <w:tr w:rsidR="00F1118B" w14:paraId="2686815C" w14:textId="77777777" w:rsidTr="0047741D">
        <w:trPr>
          <w:cantSplit/>
        </w:trPr>
        <w:tc>
          <w:tcPr>
            <w:tcW w:w="6912" w:type="dxa"/>
            <w:gridSpan w:val="2"/>
            <w:shd w:val="clear" w:color="auto" w:fill="BFBFBF"/>
            <w:vAlign w:val="center"/>
          </w:tcPr>
          <w:p w14:paraId="2686815A" w14:textId="77777777" w:rsidR="0047741D" w:rsidRPr="009E2B84" w:rsidRDefault="00FF070F" w:rsidP="00E2196F">
            <w:pPr>
              <w:jc w:val="center"/>
              <w:rPr>
                <w:b/>
              </w:rPr>
            </w:pPr>
            <w:r w:rsidRPr="009E2B84">
              <w:rPr>
                <w:b/>
              </w:rPr>
              <w:t>TITLE</w:t>
            </w:r>
          </w:p>
        </w:tc>
        <w:tc>
          <w:tcPr>
            <w:tcW w:w="2977" w:type="dxa"/>
            <w:gridSpan w:val="2"/>
            <w:shd w:val="clear" w:color="auto" w:fill="BFBFBF"/>
            <w:vAlign w:val="center"/>
          </w:tcPr>
          <w:p w14:paraId="2686815B" w14:textId="77777777" w:rsidR="0047741D" w:rsidRPr="009E2B84" w:rsidRDefault="00FF070F" w:rsidP="00E2196F">
            <w:pPr>
              <w:jc w:val="center"/>
              <w:rPr>
                <w:b/>
              </w:rPr>
            </w:pPr>
            <w:r>
              <w:rPr>
                <w:b/>
              </w:rPr>
              <w:t>REPORT OF</w:t>
            </w:r>
          </w:p>
        </w:tc>
      </w:tr>
      <w:tr w:rsidR="00F1118B" w14:paraId="2686815F" w14:textId="77777777" w:rsidTr="0047741D">
        <w:trPr>
          <w:cantSplit/>
          <w:trHeight w:val="667"/>
        </w:trPr>
        <w:tc>
          <w:tcPr>
            <w:tcW w:w="6912" w:type="dxa"/>
            <w:gridSpan w:val="2"/>
            <w:vAlign w:val="center"/>
          </w:tcPr>
          <w:p w14:paraId="2686815D" w14:textId="77777777" w:rsidR="0047741D" w:rsidRPr="009E2B84" w:rsidRDefault="00FF070F" w:rsidP="001A54F4">
            <w:pPr>
              <w:rPr>
                <w:b/>
              </w:rPr>
            </w:pPr>
            <w:r>
              <w:rPr>
                <w:b/>
              </w:rPr>
              <w:fldChar w:fldCharType="begin"/>
            </w:r>
            <w:r>
              <w:rPr>
                <w:b/>
              </w:rPr>
              <w:instrText xml:space="preserve"> DOCPROPERTY  IssueTitle  \* MERGEFORMAT </w:instrText>
            </w:r>
            <w:r>
              <w:rPr>
                <w:b/>
              </w:rPr>
              <w:fldChar w:fldCharType="separate"/>
            </w:r>
            <w:r>
              <w:rPr>
                <w:b/>
              </w:rPr>
              <w:t>Treasury Management Activity Mid-year review 2019/20</w:t>
            </w:r>
            <w:r>
              <w:rPr>
                <w:b/>
              </w:rPr>
              <w:fldChar w:fldCharType="end"/>
            </w:r>
          </w:p>
        </w:tc>
        <w:tc>
          <w:tcPr>
            <w:tcW w:w="2977" w:type="dxa"/>
            <w:gridSpan w:val="2"/>
            <w:vAlign w:val="center"/>
          </w:tcPr>
          <w:p w14:paraId="2686815E" w14:textId="77777777" w:rsidR="0047741D" w:rsidRPr="001A54F4" w:rsidRDefault="00FF070F" w:rsidP="00C903AC">
            <w:pPr>
              <w:rPr>
                <w:b/>
              </w:rPr>
            </w:pPr>
            <w:r>
              <w:rPr>
                <w:b/>
              </w:rPr>
              <w:fldChar w:fldCharType="begin"/>
            </w:r>
            <w:r>
              <w:rPr>
                <w:b/>
              </w:rPr>
              <w:instrText xml:space="preserve"> DOCPROPERTY  LeadDirector  \* MERGEFORMAT </w:instrText>
            </w:r>
            <w:r>
              <w:rPr>
                <w:b/>
              </w:rPr>
              <w:fldChar w:fldCharType="separate"/>
            </w:r>
            <w:r>
              <w:rPr>
                <w:b/>
              </w:rPr>
              <w:t>Interim Section 151 Officer</w:t>
            </w:r>
            <w:r>
              <w:rPr>
                <w:b/>
              </w:rPr>
              <w:fldChar w:fldCharType="end"/>
            </w:r>
          </w:p>
        </w:tc>
      </w:tr>
    </w:tbl>
    <w:p w14:paraId="26868160" w14:textId="77777777" w:rsidR="002F5C5E" w:rsidRPr="009E2B84" w:rsidRDefault="00FE0CBF" w:rsidP="002F5C5E"/>
    <w:p w14:paraId="26868161" w14:textId="77777777" w:rsidR="002F5C5E" w:rsidRDefault="00FE0CBF"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F1118B" w14:paraId="26868167" w14:textId="77777777" w:rsidTr="00E2196F">
        <w:tc>
          <w:tcPr>
            <w:tcW w:w="6652" w:type="dxa"/>
            <w:shd w:val="clear" w:color="auto" w:fill="auto"/>
          </w:tcPr>
          <w:p w14:paraId="26868162" w14:textId="77777777" w:rsidR="0047741D" w:rsidRDefault="00FE0CBF" w:rsidP="00E2196F">
            <w:pPr>
              <w:rPr>
                <w:szCs w:val="22"/>
              </w:rPr>
            </w:pPr>
          </w:p>
          <w:p w14:paraId="26868163" w14:textId="77777777" w:rsidR="0047741D" w:rsidRPr="009C1143" w:rsidRDefault="00FF070F" w:rsidP="00E2196F">
            <w:pPr>
              <w:rPr>
                <w:szCs w:val="22"/>
              </w:rPr>
            </w:pPr>
            <w:r>
              <w:rPr>
                <w:szCs w:val="22"/>
              </w:rPr>
              <w:t>Is this report confidential?</w:t>
            </w:r>
          </w:p>
        </w:tc>
        <w:tc>
          <w:tcPr>
            <w:tcW w:w="3266" w:type="dxa"/>
            <w:shd w:val="clear" w:color="auto" w:fill="auto"/>
          </w:tcPr>
          <w:p w14:paraId="26868164" w14:textId="77777777" w:rsidR="00E63940" w:rsidRDefault="00FE0CBF" w:rsidP="00E63940">
            <w:pPr>
              <w:rPr>
                <w:b/>
                <w:szCs w:val="22"/>
              </w:rPr>
            </w:pPr>
          </w:p>
          <w:p w14:paraId="26868165" w14:textId="77777777" w:rsidR="0047741D" w:rsidRPr="00F3057A" w:rsidRDefault="00FF070F" w:rsidP="00E2196F">
            <w:pPr>
              <w:rPr>
                <w:b/>
                <w:szCs w:val="22"/>
              </w:rPr>
            </w:pPr>
            <w:r w:rsidRPr="00F3057A">
              <w:rPr>
                <w:b/>
                <w:szCs w:val="22"/>
              </w:rPr>
              <w:t xml:space="preserve">No </w:t>
            </w:r>
          </w:p>
          <w:p w14:paraId="26868166" w14:textId="77777777" w:rsidR="0047741D" w:rsidRPr="009C1143" w:rsidRDefault="00FE0CBF" w:rsidP="000304D4">
            <w:pPr>
              <w:rPr>
                <w:szCs w:val="22"/>
              </w:rPr>
            </w:pPr>
          </w:p>
        </w:tc>
      </w:tr>
    </w:tbl>
    <w:p w14:paraId="26868168" w14:textId="77777777" w:rsidR="0047741D" w:rsidRPr="00C278CB" w:rsidRDefault="00FE0CBF" w:rsidP="00833F9E">
      <w:pPr>
        <w:jc w:val="center"/>
        <w:rPr>
          <w:b/>
          <w:sz w:val="16"/>
          <w:szCs w:val="16"/>
        </w:rPr>
      </w:pPr>
    </w:p>
    <w:p w14:paraId="26868169" w14:textId="77777777" w:rsidR="00833F9E" w:rsidRPr="00C278CB" w:rsidRDefault="00FE0CBF" w:rsidP="00833F9E">
      <w:pPr>
        <w:jc w:val="center"/>
        <w:rPr>
          <w:b/>
          <w:sz w:val="20"/>
          <w:szCs w:val="16"/>
        </w:rPr>
      </w:pPr>
    </w:p>
    <w:p w14:paraId="2686816A" w14:textId="77777777" w:rsidR="00EB2D32" w:rsidRPr="00C278CB" w:rsidRDefault="00FE0CBF" w:rsidP="00B71A04">
      <w:pPr>
        <w:tabs>
          <w:tab w:val="left" w:pos="567"/>
        </w:tabs>
        <w:ind w:left="567" w:hanging="567"/>
        <w:rPr>
          <w:sz w:val="16"/>
          <w:szCs w:val="16"/>
        </w:rPr>
      </w:pPr>
    </w:p>
    <w:p w14:paraId="2686816B" w14:textId="77777777" w:rsidR="002F5C5E" w:rsidRPr="00C278CB" w:rsidRDefault="00FF070F" w:rsidP="00833F9E">
      <w:pPr>
        <w:keepNext/>
        <w:tabs>
          <w:tab w:val="left" w:pos="567"/>
        </w:tabs>
        <w:outlineLvl w:val="0"/>
        <w:rPr>
          <w:b/>
          <w:szCs w:val="22"/>
        </w:rPr>
      </w:pPr>
      <w:r w:rsidRPr="00C278CB">
        <w:rPr>
          <w:b/>
          <w:szCs w:val="22"/>
        </w:rPr>
        <w:t xml:space="preserve">PURPOSE OF THE REPORT  </w:t>
      </w:r>
    </w:p>
    <w:p w14:paraId="2686816C" w14:textId="77777777" w:rsidR="000B5251" w:rsidRPr="00C278CB" w:rsidRDefault="00FE0CBF" w:rsidP="00B71A04">
      <w:pPr>
        <w:keepNext/>
        <w:tabs>
          <w:tab w:val="left" w:pos="567"/>
        </w:tabs>
        <w:ind w:left="567" w:hanging="567"/>
        <w:outlineLvl w:val="0"/>
        <w:rPr>
          <w:b/>
          <w:szCs w:val="22"/>
        </w:rPr>
      </w:pPr>
    </w:p>
    <w:p w14:paraId="2686816D" w14:textId="77777777" w:rsidR="002F5C5E" w:rsidRPr="00C278CB" w:rsidRDefault="00FF070F" w:rsidP="00833F9E">
      <w:pPr>
        <w:pStyle w:val="ListParagraph"/>
        <w:keepNext/>
        <w:numPr>
          <w:ilvl w:val="0"/>
          <w:numId w:val="17"/>
        </w:numPr>
        <w:tabs>
          <w:tab w:val="left" w:pos="567"/>
        </w:tabs>
        <w:outlineLvl w:val="0"/>
        <w:rPr>
          <w:rFonts w:cs="Arial"/>
          <w:i/>
        </w:rPr>
      </w:pPr>
      <w:r w:rsidRPr="00C278CB">
        <w:rPr>
          <w:rFonts w:cs="Arial"/>
          <w:i/>
        </w:rPr>
        <w:t xml:space="preserve"> </w:t>
      </w:r>
      <w:r w:rsidRPr="007A1D7A">
        <w:t>To report on Treasury Management performance in financial year 201</w:t>
      </w:r>
      <w:r>
        <w:t>9</w:t>
      </w:r>
      <w:r w:rsidRPr="007A1D7A">
        <w:t>/</w:t>
      </w:r>
      <w:r>
        <w:t>20</w:t>
      </w:r>
      <w:r w:rsidRPr="007A1D7A">
        <w:t xml:space="preserve"> to the end of September.</w:t>
      </w:r>
    </w:p>
    <w:p w14:paraId="2686816E" w14:textId="77777777" w:rsidR="002F5C5E" w:rsidRPr="00C278CB" w:rsidRDefault="00FE0CBF" w:rsidP="00B71A04">
      <w:pPr>
        <w:tabs>
          <w:tab w:val="left" w:pos="567"/>
        </w:tabs>
        <w:ind w:left="567" w:hanging="567"/>
        <w:rPr>
          <w:rFonts w:cs="Arial"/>
          <w:szCs w:val="22"/>
        </w:rPr>
      </w:pPr>
    </w:p>
    <w:p w14:paraId="2686816F" w14:textId="77777777" w:rsidR="00B71A04" w:rsidRPr="00C278CB" w:rsidRDefault="00FF070F" w:rsidP="00833F9E">
      <w:pPr>
        <w:keepNext/>
        <w:tabs>
          <w:tab w:val="left" w:pos="567"/>
        </w:tabs>
        <w:outlineLvl w:val="0"/>
        <w:rPr>
          <w:rFonts w:cs="Arial"/>
          <w:b/>
          <w:szCs w:val="22"/>
        </w:rPr>
      </w:pPr>
      <w:r w:rsidRPr="00C278CB">
        <w:rPr>
          <w:rFonts w:cs="Arial"/>
          <w:b/>
          <w:szCs w:val="22"/>
        </w:rPr>
        <w:t>RECOMMENDATIONS</w:t>
      </w:r>
    </w:p>
    <w:p w14:paraId="26868170" w14:textId="77777777" w:rsidR="00B71A04" w:rsidRPr="00C278CB" w:rsidRDefault="00FE0CBF" w:rsidP="00B71A04">
      <w:pPr>
        <w:keepNext/>
        <w:tabs>
          <w:tab w:val="left" w:pos="567"/>
        </w:tabs>
        <w:ind w:left="567"/>
        <w:outlineLvl w:val="0"/>
        <w:rPr>
          <w:rFonts w:cs="Arial"/>
          <w:b/>
          <w:szCs w:val="22"/>
        </w:rPr>
      </w:pPr>
    </w:p>
    <w:p w14:paraId="26868171" w14:textId="77777777" w:rsidR="002F5C5E" w:rsidRPr="000304D4" w:rsidRDefault="00FF070F" w:rsidP="00B71A04">
      <w:pPr>
        <w:pStyle w:val="ListParagraph"/>
        <w:keepNext/>
        <w:numPr>
          <w:ilvl w:val="0"/>
          <w:numId w:val="17"/>
        </w:numPr>
        <w:tabs>
          <w:tab w:val="left" w:pos="567"/>
        </w:tabs>
        <w:ind w:left="567" w:hanging="567"/>
        <w:outlineLvl w:val="0"/>
        <w:rPr>
          <w:i/>
        </w:rPr>
      </w:pPr>
      <w:r w:rsidRPr="000304D4">
        <w:rPr>
          <w:rFonts w:cs="Arial"/>
          <w:i/>
        </w:rPr>
        <w:t xml:space="preserve"> </w:t>
      </w:r>
      <w:r w:rsidRPr="000304D4">
        <w:t>That the report be noted.</w:t>
      </w:r>
    </w:p>
    <w:p w14:paraId="26868172" w14:textId="77777777" w:rsidR="002F5C5E" w:rsidRPr="00C278CB" w:rsidRDefault="00FE0CBF" w:rsidP="00833F9E">
      <w:pPr>
        <w:tabs>
          <w:tab w:val="left" w:pos="567"/>
        </w:tabs>
        <w:rPr>
          <w:sz w:val="16"/>
          <w:szCs w:val="16"/>
        </w:rPr>
      </w:pPr>
    </w:p>
    <w:p w14:paraId="26868173" w14:textId="77777777" w:rsidR="002F5C5E" w:rsidRPr="00C278CB" w:rsidRDefault="00FF070F" w:rsidP="00833F9E">
      <w:pPr>
        <w:keepNext/>
        <w:tabs>
          <w:tab w:val="left" w:pos="567"/>
        </w:tabs>
        <w:outlineLvl w:val="0"/>
        <w:rPr>
          <w:b/>
          <w:szCs w:val="22"/>
        </w:rPr>
      </w:pPr>
      <w:r w:rsidRPr="00C278CB">
        <w:rPr>
          <w:b/>
          <w:szCs w:val="22"/>
        </w:rPr>
        <w:t xml:space="preserve">EXECUTIVE SUMMARY </w:t>
      </w:r>
    </w:p>
    <w:p w14:paraId="26868174" w14:textId="77777777" w:rsidR="000B5251" w:rsidRPr="00C278CB" w:rsidRDefault="00FE0CBF" w:rsidP="00B71A04">
      <w:pPr>
        <w:keepNext/>
        <w:tabs>
          <w:tab w:val="left" w:pos="567"/>
        </w:tabs>
        <w:ind w:left="567" w:hanging="567"/>
        <w:outlineLvl w:val="0"/>
        <w:rPr>
          <w:b/>
          <w:szCs w:val="22"/>
        </w:rPr>
      </w:pPr>
    </w:p>
    <w:p w14:paraId="26868175" w14:textId="77777777" w:rsidR="000304D4" w:rsidRPr="000304D4" w:rsidRDefault="00FF070F" w:rsidP="000304D4">
      <w:pPr>
        <w:pStyle w:val="ListParagraph"/>
        <w:numPr>
          <w:ilvl w:val="0"/>
          <w:numId w:val="17"/>
        </w:numPr>
        <w:tabs>
          <w:tab w:val="left" w:pos="567"/>
        </w:tabs>
      </w:pPr>
      <w:r w:rsidRPr="00C278CB">
        <w:rPr>
          <w:i/>
        </w:rPr>
        <w:t xml:space="preserve"> </w:t>
      </w:r>
      <w:r w:rsidRPr="000304D4">
        <w:t>During the first six months of 2019/20, the Council had an average daily cash balance of £39.9m and earned interest of £182k, a return of 0.91%. The investment balance at the end of September was £44.6m.</w:t>
      </w:r>
    </w:p>
    <w:p w14:paraId="26868176" w14:textId="77777777" w:rsidR="000304D4" w:rsidRPr="000304D4" w:rsidRDefault="00FE0CBF" w:rsidP="000304D4">
      <w:pPr>
        <w:pStyle w:val="ListParagraph"/>
        <w:tabs>
          <w:tab w:val="left" w:pos="567"/>
        </w:tabs>
      </w:pPr>
    </w:p>
    <w:p w14:paraId="26868177" w14:textId="77777777" w:rsidR="000304D4" w:rsidRPr="000304D4" w:rsidRDefault="00FF070F" w:rsidP="000304D4">
      <w:pPr>
        <w:pStyle w:val="ListParagraph"/>
        <w:numPr>
          <w:ilvl w:val="0"/>
          <w:numId w:val="17"/>
        </w:numPr>
        <w:tabs>
          <w:tab w:val="left" w:pos="567"/>
        </w:tabs>
      </w:pPr>
      <w:r w:rsidRPr="000304D4">
        <w:t>On 9 October 2019, the Public Works Loans Board (PWLB) announced an increase of 1% in the margin of its lending rates above gilt yields. The effect of this is to significantly increase the potential cost of future borrowing. It also raises the possibility of sources of borrowing other than the PWLB being a more affordable option in the future.</w:t>
      </w:r>
    </w:p>
    <w:p w14:paraId="26868178" w14:textId="77777777" w:rsidR="000304D4" w:rsidRPr="000304D4" w:rsidRDefault="00FE0CBF" w:rsidP="000304D4">
      <w:pPr>
        <w:pStyle w:val="ListParagraph"/>
        <w:tabs>
          <w:tab w:val="left" w:pos="567"/>
        </w:tabs>
      </w:pPr>
    </w:p>
    <w:p w14:paraId="26868179" w14:textId="77777777" w:rsidR="002F5C5E" w:rsidRPr="000304D4" w:rsidRDefault="00FF070F" w:rsidP="000304D4">
      <w:pPr>
        <w:pStyle w:val="ListParagraph"/>
        <w:numPr>
          <w:ilvl w:val="0"/>
          <w:numId w:val="17"/>
        </w:numPr>
        <w:tabs>
          <w:tab w:val="left" w:pos="567"/>
        </w:tabs>
      </w:pPr>
      <w:r w:rsidRPr="000304D4">
        <w:t>The forecast rise in the Bank of England base rate has been further deferred and is not now expected until the final quarter of 2020.This is only necessary for reports of longer than 4 sides – otherwise delete the heading.</w:t>
      </w:r>
    </w:p>
    <w:p w14:paraId="2686817A" w14:textId="77777777" w:rsidR="002F5C5E" w:rsidRPr="00C278CB" w:rsidRDefault="00FE0CBF" w:rsidP="00B71A04">
      <w:pPr>
        <w:tabs>
          <w:tab w:val="left" w:pos="567"/>
        </w:tabs>
        <w:ind w:left="567" w:hanging="567"/>
        <w:rPr>
          <w:szCs w:val="22"/>
        </w:rPr>
      </w:pPr>
    </w:p>
    <w:p w14:paraId="2686817B" w14:textId="77777777" w:rsidR="002F5C5E" w:rsidRPr="00C278CB" w:rsidRDefault="00FF070F" w:rsidP="00833F9E">
      <w:pPr>
        <w:keepNext/>
        <w:tabs>
          <w:tab w:val="left" w:pos="567"/>
        </w:tabs>
        <w:outlineLvl w:val="0"/>
        <w:rPr>
          <w:b/>
          <w:szCs w:val="22"/>
        </w:rPr>
      </w:pPr>
      <w:r w:rsidRPr="00C278CB">
        <w:rPr>
          <w:b/>
          <w:szCs w:val="22"/>
        </w:rPr>
        <w:t>CORPORATE OUTCOMES</w:t>
      </w:r>
    </w:p>
    <w:p w14:paraId="2686817C" w14:textId="77777777" w:rsidR="00772B9C" w:rsidRPr="00C278CB" w:rsidRDefault="00FE0CBF" w:rsidP="00B71A04">
      <w:pPr>
        <w:keepNext/>
        <w:tabs>
          <w:tab w:val="left" w:pos="567"/>
        </w:tabs>
        <w:ind w:left="567" w:hanging="567"/>
        <w:outlineLvl w:val="0"/>
        <w:rPr>
          <w:b/>
          <w:szCs w:val="22"/>
        </w:rPr>
      </w:pPr>
    </w:p>
    <w:p w14:paraId="2686817D" w14:textId="77777777" w:rsidR="00772B9C" w:rsidRPr="00C278CB" w:rsidRDefault="00FF070F"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2686817E" w14:textId="77777777" w:rsidR="00772B9C" w:rsidRPr="00C278CB" w:rsidRDefault="00FE0CBF"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1118B" w14:paraId="26868182" w14:textId="77777777" w:rsidTr="000E4458">
        <w:tc>
          <w:tcPr>
            <w:tcW w:w="4423" w:type="dxa"/>
            <w:shd w:val="clear" w:color="auto" w:fill="auto"/>
          </w:tcPr>
          <w:p w14:paraId="2686817F" w14:textId="77777777" w:rsidR="000304D4" w:rsidRPr="00C278CB" w:rsidRDefault="00FF070F" w:rsidP="000304D4">
            <w:pPr>
              <w:rPr>
                <w:szCs w:val="22"/>
              </w:rPr>
            </w:pPr>
            <w:r w:rsidRPr="00C278CB">
              <w:rPr>
                <w:szCs w:val="22"/>
              </w:rPr>
              <w:t>Excellence, Investment and Financial Sustainability</w:t>
            </w:r>
          </w:p>
          <w:p w14:paraId="26868180" w14:textId="77777777" w:rsidR="000304D4" w:rsidRPr="00C278CB" w:rsidRDefault="00FE0CBF" w:rsidP="000304D4">
            <w:pPr>
              <w:rPr>
                <w:szCs w:val="22"/>
              </w:rPr>
            </w:pPr>
          </w:p>
        </w:tc>
        <w:tc>
          <w:tcPr>
            <w:tcW w:w="850" w:type="dxa"/>
            <w:shd w:val="clear" w:color="auto" w:fill="auto"/>
          </w:tcPr>
          <w:p w14:paraId="26868181" w14:textId="77777777" w:rsidR="000304D4" w:rsidRPr="00C278CB" w:rsidRDefault="00FF070F" w:rsidP="000304D4">
            <w:pPr>
              <w:rPr>
                <w:szCs w:val="22"/>
                <w:highlight w:val="yellow"/>
              </w:rPr>
            </w:pPr>
            <w:r w:rsidRPr="00691A67">
              <w:rPr>
                <w:rFonts w:ascii="Wingdings" w:hAnsi="Wingdings"/>
                <w:sz w:val="44"/>
                <w:szCs w:val="44"/>
              </w:rPr>
              <w:sym w:font="Wingdings" w:char="F0FC"/>
            </w:r>
          </w:p>
        </w:tc>
      </w:tr>
      <w:tr w:rsidR="00F1118B" w14:paraId="26868186" w14:textId="77777777" w:rsidTr="000E4458">
        <w:tc>
          <w:tcPr>
            <w:tcW w:w="4423" w:type="dxa"/>
            <w:shd w:val="clear" w:color="auto" w:fill="auto"/>
          </w:tcPr>
          <w:p w14:paraId="26868183" w14:textId="77777777" w:rsidR="000304D4" w:rsidRPr="00C278CB" w:rsidRDefault="00FF070F" w:rsidP="000304D4">
            <w:pPr>
              <w:rPr>
                <w:szCs w:val="22"/>
              </w:rPr>
            </w:pPr>
            <w:r w:rsidRPr="00C278CB">
              <w:rPr>
                <w:szCs w:val="22"/>
              </w:rPr>
              <w:t>Health, Wellbeing and Safety</w:t>
            </w:r>
          </w:p>
          <w:p w14:paraId="26868184" w14:textId="77777777" w:rsidR="000304D4" w:rsidRPr="00C278CB" w:rsidRDefault="00FE0CBF" w:rsidP="000304D4">
            <w:pPr>
              <w:rPr>
                <w:szCs w:val="22"/>
              </w:rPr>
            </w:pPr>
          </w:p>
        </w:tc>
        <w:tc>
          <w:tcPr>
            <w:tcW w:w="850" w:type="dxa"/>
            <w:shd w:val="clear" w:color="auto" w:fill="auto"/>
          </w:tcPr>
          <w:p w14:paraId="26868185" w14:textId="77777777" w:rsidR="000304D4" w:rsidRPr="00C278CB" w:rsidRDefault="00FE0CBF" w:rsidP="000304D4">
            <w:pPr>
              <w:rPr>
                <w:szCs w:val="22"/>
                <w:highlight w:val="yellow"/>
              </w:rPr>
            </w:pPr>
          </w:p>
        </w:tc>
      </w:tr>
      <w:tr w:rsidR="00F1118B" w14:paraId="2686818A" w14:textId="77777777" w:rsidTr="000E4458">
        <w:tc>
          <w:tcPr>
            <w:tcW w:w="4423" w:type="dxa"/>
            <w:shd w:val="clear" w:color="auto" w:fill="auto"/>
          </w:tcPr>
          <w:p w14:paraId="26868187" w14:textId="77777777" w:rsidR="000304D4" w:rsidRPr="00C278CB" w:rsidRDefault="00FF070F" w:rsidP="000304D4">
            <w:pPr>
              <w:rPr>
                <w:szCs w:val="22"/>
              </w:rPr>
            </w:pPr>
            <w:r w:rsidRPr="00C278CB">
              <w:rPr>
                <w:szCs w:val="22"/>
              </w:rPr>
              <w:t>Place, Homes and Environment</w:t>
            </w:r>
          </w:p>
          <w:p w14:paraId="26868188" w14:textId="77777777" w:rsidR="000304D4" w:rsidRPr="00C278CB" w:rsidRDefault="00FE0CBF" w:rsidP="000304D4">
            <w:pPr>
              <w:rPr>
                <w:szCs w:val="22"/>
              </w:rPr>
            </w:pPr>
          </w:p>
        </w:tc>
        <w:tc>
          <w:tcPr>
            <w:tcW w:w="850" w:type="dxa"/>
            <w:shd w:val="clear" w:color="auto" w:fill="auto"/>
          </w:tcPr>
          <w:p w14:paraId="26868189" w14:textId="77777777" w:rsidR="000304D4" w:rsidRPr="00C278CB" w:rsidRDefault="00FE0CBF" w:rsidP="000304D4">
            <w:pPr>
              <w:rPr>
                <w:szCs w:val="22"/>
              </w:rPr>
            </w:pPr>
          </w:p>
        </w:tc>
      </w:tr>
    </w:tbl>
    <w:p w14:paraId="2686818B" w14:textId="77777777" w:rsidR="00772B9C" w:rsidRPr="00C278CB" w:rsidRDefault="00FE0CBF" w:rsidP="00772B9C"/>
    <w:p w14:paraId="2686818C" w14:textId="77777777" w:rsidR="00772B9C" w:rsidRPr="00C278CB" w:rsidRDefault="00FF070F" w:rsidP="00772B9C">
      <w:pPr>
        <w:ind w:firstLine="720"/>
      </w:pPr>
      <w:r w:rsidRPr="00C278CB">
        <w:t>Projects relating to People in the Corporate Plan:</w:t>
      </w:r>
    </w:p>
    <w:p w14:paraId="2686818D" w14:textId="77777777" w:rsidR="00772B9C" w:rsidRPr="00C278CB" w:rsidRDefault="00FE0CBF"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1118B" w14:paraId="26868191" w14:textId="77777777" w:rsidTr="000E4458">
        <w:tc>
          <w:tcPr>
            <w:tcW w:w="4423" w:type="dxa"/>
            <w:shd w:val="clear" w:color="auto" w:fill="auto"/>
          </w:tcPr>
          <w:p w14:paraId="2686818E" w14:textId="77777777" w:rsidR="00772B9C" w:rsidRPr="00C278CB" w:rsidRDefault="00FF070F" w:rsidP="000E4458">
            <w:pPr>
              <w:rPr>
                <w:szCs w:val="22"/>
              </w:rPr>
            </w:pPr>
            <w:r w:rsidRPr="00C278CB">
              <w:rPr>
                <w:szCs w:val="22"/>
              </w:rPr>
              <w:t>Our People and Communities</w:t>
            </w:r>
          </w:p>
          <w:p w14:paraId="2686818F" w14:textId="77777777" w:rsidR="00772B9C" w:rsidRPr="00C278CB" w:rsidRDefault="00FE0CBF" w:rsidP="000E4458">
            <w:pPr>
              <w:rPr>
                <w:szCs w:val="22"/>
              </w:rPr>
            </w:pPr>
          </w:p>
        </w:tc>
        <w:tc>
          <w:tcPr>
            <w:tcW w:w="850" w:type="dxa"/>
            <w:shd w:val="clear" w:color="auto" w:fill="auto"/>
          </w:tcPr>
          <w:p w14:paraId="26868190" w14:textId="77777777" w:rsidR="00772B9C" w:rsidRPr="00C278CB" w:rsidRDefault="00FE0CBF" w:rsidP="000E4458">
            <w:pPr>
              <w:rPr>
                <w:szCs w:val="22"/>
              </w:rPr>
            </w:pPr>
          </w:p>
        </w:tc>
      </w:tr>
    </w:tbl>
    <w:p w14:paraId="26868192" w14:textId="77777777" w:rsidR="00772B9C" w:rsidRPr="00C278CB" w:rsidRDefault="00FE0CBF" w:rsidP="002F5C5E">
      <w:pPr>
        <w:rPr>
          <w:szCs w:val="22"/>
        </w:rPr>
      </w:pPr>
    </w:p>
    <w:p w14:paraId="26868193" w14:textId="77777777" w:rsidR="002F5C5E" w:rsidRPr="00C278CB" w:rsidRDefault="00FF070F" w:rsidP="00B71A04">
      <w:pPr>
        <w:tabs>
          <w:tab w:val="left" w:pos="567"/>
        </w:tabs>
        <w:ind w:left="567" w:hanging="567"/>
        <w:rPr>
          <w:b/>
          <w:szCs w:val="22"/>
        </w:rPr>
      </w:pPr>
      <w:r w:rsidRPr="00C278CB">
        <w:rPr>
          <w:b/>
          <w:szCs w:val="22"/>
        </w:rPr>
        <w:t>BACKGROUND TO THE REPORT</w:t>
      </w:r>
    </w:p>
    <w:p w14:paraId="26868194" w14:textId="77777777" w:rsidR="00B71A04" w:rsidRPr="00C278CB" w:rsidRDefault="00FE0CBF" w:rsidP="00B71A04">
      <w:pPr>
        <w:tabs>
          <w:tab w:val="left" w:pos="567"/>
        </w:tabs>
        <w:ind w:left="567" w:hanging="567"/>
        <w:rPr>
          <w:b/>
          <w:szCs w:val="22"/>
        </w:rPr>
      </w:pPr>
    </w:p>
    <w:p w14:paraId="26868195" w14:textId="77777777" w:rsidR="00DE3144" w:rsidRDefault="00FF070F" w:rsidP="00DE3144">
      <w:pPr>
        <w:pStyle w:val="ListParagraph"/>
        <w:numPr>
          <w:ilvl w:val="0"/>
          <w:numId w:val="17"/>
        </w:numPr>
        <w:tabs>
          <w:tab w:val="left" w:pos="567"/>
        </w:tabs>
      </w:pPr>
      <w:r w:rsidRPr="00C278CB">
        <w:rPr>
          <w:i/>
        </w:rPr>
        <w:t xml:space="preserve"> </w:t>
      </w:r>
      <w:r>
        <w:t>The Annual Investment Strategy for 2019/20 was included in the Treasury Strategy 2019/20 to 2022/23, which was approved by Council on 27 February 2019. The report emphasised that the Council’s investment priorities will be Security first, portfolio Liquidity second, and only then return (Yield).</w:t>
      </w:r>
    </w:p>
    <w:p w14:paraId="26868196" w14:textId="77777777" w:rsidR="00DE3144" w:rsidRDefault="00FE0CBF" w:rsidP="00DE3144">
      <w:pPr>
        <w:pStyle w:val="ListParagraph"/>
        <w:tabs>
          <w:tab w:val="left" w:pos="567"/>
        </w:tabs>
      </w:pPr>
    </w:p>
    <w:p w14:paraId="26868197" w14:textId="075F4177" w:rsidR="00DE3144" w:rsidRDefault="00FF070F" w:rsidP="00DE3144">
      <w:pPr>
        <w:pStyle w:val="ListParagraph"/>
        <w:numPr>
          <w:ilvl w:val="0"/>
          <w:numId w:val="17"/>
        </w:numPr>
        <w:tabs>
          <w:tab w:val="left" w:pos="567"/>
        </w:tabs>
      </w:pPr>
      <w:r>
        <w:t>The Treasury Management Annual Report 2019/20 was presented to Governance Committee on 24 September 2019. The report indicated that an average return on investments of 0.91% had been achieved, which exceeded the target rate of 0.66%, being seven day LIBID plus 15%.</w:t>
      </w:r>
    </w:p>
    <w:p w14:paraId="26868198" w14:textId="77777777" w:rsidR="00DE3144" w:rsidRDefault="00FE0CBF" w:rsidP="00DE3144">
      <w:pPr>
        <w:pStyle w:val="ListParagraph"/>
        <w:tabs>
          <w:tab w:val="left" w:pos="567"/>
        </w:tabs>
      </w:pPr>
    </w:p>
    <w:p w14:paraId="26868199" w14:textId="77777777" w:rsidR="002F5C5E" w:rsidRPr="00DE3144" w:rsidRDefault="00FF070F" w:rsidP="00DE3144">
      <w:pPr>
        <w:pStyle w:val="ListParagraph"/>
        <w:numPr>
          <w:ilvl w:val="0"/>
          <w:numId w:val="17"/>
        </w:numPr>
        <w:tabs>
          <w:tab w:val="left" w:pos="567"/>
        </w:tabs>
      </w:pPr>
      <w:r>
        <w:t>The Code of Practice for Treasury Management requires Councils to review their treasury strategies and activities half yearly. This report satisfies that requirement.</w:t>
      </w:r>
    </w:p>
    <w:p w14:paraId="2686819A" w14:textId="77777777" w:rsidR="00525728" w:rsidRPr="00C278CB" w:rsidRDefault="00FE0CBF" w:rsidP="00B71A04">
      <w:pPr>
        <w:tabs>
          <w:tab w:val="left" w:pos="567"/>
        </w:tabs>
        <w:ind w:left="567" w:hanging="567"/>
        <w:rPr>
          <w:i/>
          <w:szCs w:val="22"/>
        </w:rPr>
      </w:pPr>
    </w:p>
    <w:p w14:paraId="2686819B" w14:textId="77777777" w:rsidR="002F5C5E" w:rsidRPr="00C278CB" w:rsidRDefault="00FF070F" w:rsidP="00B71A04">
      <w:pPr>
        <w:tabs>
          <w:tab w:val="left" w:pos="567"/>
        </w:tabs>
        <w:ind w:left="567" w:hanging="567"/>
        <w:rPr>
          <w:b/>
          <w:szCs w:val="22"/>
        </w:rPr>
      </w:pPr>
      <w:r>
        <w:rPr>
          <w:b/>
          <w:szCs w:val="22"/>
        </w:rPr>
        <w:t>TREASURY ACTIVITY</w:t>
      </w:r>
    </w:p>
    <w:p w14:paraId="2686819C" w14:textId="77777777" w:rsidR="001938D6" w:rsidRPr="00C278CB" w:rsidRDefault="00FE0CBF" w:rsidP="00B71A04">
      <w:pPr>
        <w:tabs>
          <w:tab w:val="left" w:pos="567"/>
        </w:tabs>
        <w:ind w:left="567" w:hanging="567"/>
        <w:rPr>
          <w:b/>
          <w:szCs w:val="22"/>
        </w:rPr>
      </w:pPr>
    </w:p>
    <w:p w14:paraId="2686819D" w14:textId="77777777" w:rsidR="00F925D0" w:rsidRDefault="00FF070F" w:rsidP="00F925D0">
      <w:pPr>
        <w:pStyle w:val="ListParagraph"/>
        <w:numPr>
          <w:ilvl w:val="0"/>
          <w:numId w:val="17"/>
        </w:numPr>
        <w:tabs>
          <w:tab w:val="left" w:pos="567"/>
        </w:tabs>
      </w:pPr>
      <w:r w:rsidRPr="00F925D0">
        <w:t>Investment activity up to the end of September 2019 is summarised in the following table.</w:t>
      </w:r>
    </w:p>
    <w:p w14:paraId="2686819E" w14:textId="77777777" w:rsidR="00F925D0" w:rsidRDefault="00FE0CBF" w:rsidP="00F925D0">
      <w:pPr>
        <w:pStyle w:val="ListParagraph"/>
        <w:tabs>
          <w:tab w:val="left" w:pos="567"/>
        </w:tabs>
      </w:pPr>
    </w:p>
    <w:tbl>
      <w:tblPr>
        <w:tblpPr w:leftFromText="180" w:rightFromText="180" w:vertAnchor="text" w:horzAnchor="margin" w:tblpXSpec="center" w:tblpY="-13"/>
        <w:tblW w:w="6960" w:type="dxa"/>
        <w:tblLook w:val="04A0" w:firstRow="1" w:lastRow="0" w:firstColumn="1" w:lastColumn="0" w:noHBand="0" w:noVBand="1"/>
      </w:tblPr>
      <w:tblGrid>
        <w:gridCol w:w="2657"/>
        <w:gridCol w:w="1619"/>
        <w:gridCol w:w="1599"/>
        <w:gridCol w:w="1085"/>
      </w:tblGrid>
      <w:tr w:rsidR="00F1118B" w14:paraId="268681A3" w14:textId="77777777" w:rsidTr="00F925D0">
        <w:trPr>
          <w:trHeight w:val="900"/>
        </w:trPr>
        <w:tc>
          <w:tcPr>
            <w:tcW w:w="2657" w:type="dxa"/>
            <w:tcBorders>
              <w:top w:val="single" w:sz="4" w:space="0" w:color="auto"/>
              <w:left w:val="single" w:sz="4" w:space="0" w:color="auto"/>
              <w:bottom w:val="nil"/>
              <w:right w:val="nil"/>
            </w:tcBorders>
            <w:shd w:val="clear" w:color="000000" w:fill="BFBFBF"/>
            <w:vAlign w:val="center"/>
            <w:hideMark/>
          </w:tcPr>
          <w:p w14:paraId="2686819F" w14:textId="77777777" w:rsidR="00F925D0" w:rsidRPr="00A75675" w:rsidRDefault="00FF070F" w:rsidP="00F925D0">
            <w:pPr>
              <w:rPr>
                <w:rFonts w:cs="Arial"/>
                <w:b/>
                <w:bCs/>
                <w:color w:val="000000"/>
                <w:szCs w:val="22"/>
              </w:rPr>
            </w:pPr>
            <w:r w:rsidRPr="00A75675">
              <w:rPr>
                <w:rFonts w:cs="Arial"/>
                <w:b/>
                <w:bCs/>
                <w:color w:val="000000"/>
                <w:szCs w:val="22"/>
              </w:rPr>
              <w:t>Table 1 - Investment Activity</w:t>
            </w:r>
          </w:p>
        </w:tc>
        <w:tc>
          <w:tcPr>
            <w:tcW w:w="1619" w:type="dxa"/>
            <w:tcBorders>
              <w:top w:val="single" w:sz="4" w:space="0" w:color="auto"/>
              <w:left w:val="nil"/>
              <w:bottom w:val="nil"/>
              <w:right w:val="nil"/>
            </w:tcBorders>
            <w:shd w:val="clear" w:color="000000" w:fill="BFBFBF"/>
            <w:vAlign w:val="bottom"/>
            <w:hideMark/>
          </w:tcPr>
          <w:p w14:paraId="268681A0" w14:textId="77777777" w:rsidR="00F925D0" w:rsidRPr="00A75675" w:rsidRDefault="00FF070F" w:rsidP="00F925D0">
            <w:pPr>
              <w:jc w:val="center"/>
              <w:rPr>
                <w:rFonts w:cs="Arial"/>
                <w:b/>
                <w:bCs/>
                <w:color w:val="000000"/>
                <w:szCs w:val="22"/>
              </w:rPr>
            </w:pPr>
            <w:r w:rsidRPr="00A75675">
              <w:rPr>
                <w:rFonts w:cs="Arial"/>
                <w:b/>
                <w:bCs/>
                <w:color w:val="000000"/>
                <w:szCs w:val="22"/>
              </w:rPr>
              <w:t>Average Daily Investment</w:t>
            </w:r>
          </w:p>
        </w:tc>
        <w:tc>
          <w:tcPr>
            <w:tcW w:w="1599" w:type="dxa"/>
            <w:tcBorders>
              <w:top w:val="single" w:sz="4" w:space="0" w:color="auto"/>
              <w:left w:val="nil"/>
              <w:bottom w:val="nil"/>
              <w:right w:val="nil"/>
            </w:tcBorders>
            <w:shd w:val="clear" w:color="000000" w:fill="BFBFBF"/>
            <w:vAlign w:val="bottom"/>
            <w:hideMark/>
          </w:tcPr>
          <w:p w14:paraId="268681A1" w14:textId="77777777" w:rsidR="00F925D0" w:rsidRPr="00A75675" w:rsidRDefault="00FF070F" w:rsidP="00F925D0">
            <w:pPr>
              <w:jc w:val="center"/>
              <w:rPr>
                <w:rFonts w:cs="Arial"/>
                <w:b/>
                <w:bCs/>
                <w:color w:val="000000"/>
                <w:szCs w:val="22"/>
              </w:rPr>
            </w:pPr>
            <w:r w:rsidRPr="00A75675">
              <w:rPr>
                <w:rFonts w:cs="Arial"/>
                <w:b/>
                <w:bCs/>
                <w:color w:val="000000"/>
                <w:szCs w:val="22"/>
              </w:rPr>
              <w:t>Earnings to 30 September 2019</w:t>
            </w:r>
          </w:p>
        </w:tc>
        <w:tc>
          <w:tcPr>
            <w:tcW w:w="1085" w:type="dxa"/>
            <w:tcBorders>
              <w:top w:val="single" w:sz="4" w:space="0" w:color="auto"/>
              <w:left w:val="nil"/>
              <w:bottom w:val="nil"/>
              <w:right w:val="single" w:sz="4" w:space="0" w:color="auto"/>
            </w:tcBorders>
            <w:shd w:val="clear" w:color="000000" w:fill="BFBFBF"/>
            <w:vAlign w:val="bottom"/>
            <w:hideMark/>
          </w:tcPr>
          <w:p w14:paraId="268681A2" w14:textId="77777777" w:rsidR="00F925D0" w:rsidRPr="00A75675" w:rsidRDefault="00FF070F" w:rsidP="00F925D0">
            <w:pPr>
              <w:jc w:val="center"/>
              <w:rPr>
                <w:rFonts w:cs="Arial"/>
                <w:b/>
                <w:bCs/>
                <w:color w:val="000000"/>
                <w:szCs w:val="22"/>
              </w:rPr>
            </w:pPr>
            <w:r w:rsidRPr="00A75675">
              <w:rPr>
                <w:rFonts w:cs="Arial"/>
                <w:b/>
                <w:bCs/>
                <w:color w:val="000000"/>
                <w:szCs w:val="22"/>
              </w:rPr>
              <w:t>Average Rate</w:t>
            </w:r>
          </w:p>
        </w:tc>
      </w:tr>
      <w:tr w:rsidR="00F1118B" w14:paraId="268681A8" w14:textId="77777777" w:rsidTr="00F925D0">
        <w:trPr>
          <w:trHeight w:val="300"/>
        </w:trPr>
        <w:tc>
          <w:tcPr>
            <w:tcW w:w="2657" w:type="dxa"/>
            <w:tcBorders>
              <w:top w:val="nil"/>
              <w:left w:val="single" w:sz="4" w:space="0" w:color="auto"/>
              <w:bottom w:val="nil"/>
              <w:right w:val="nil"/>
            </w:tcBorders>
            <w:shd w:val="clear" w:color="000000" w:fill="BFBFBF"/>
            <w:vAlign w:val="center"/>
            <w:hideMark/>
          </w:tcPr>
          <w:p w14:paraId="268681A4" w14:textId="77777777" w:rsidR="00F925D0" w:rsidRPr="00A75675" w:rsidRDefault="00FF070F" w:rsidP="00F925D0">
            <w:pPr>
              <w:rPr>
                <w:rFonts w:cs="Arial"/>
                <w:color w:val="000000"/>
                <w:szCs w:val="22"/>
              </w:rPr>
            </w:pPr>
            <w:r w:rsidRPr="00A75675">
              <w:rPr>
                <w:rFonts w:cs="Arial"/>
                <w:color w:val="000000"/>
                <w:szCs w:val="22"/>
              </w:rPr>
              <w:t> </w:t>
            </w:r>
          </w:p>
        </w:tc>
        <w:tc>
          <w:tcPr>
            <w:tcW w:w="1619" w:type="dxa"/>
            <w:tcBorders>
              <w:top w:val="nil"/>
              <w:left w:val="nil"/>
              <w:bottom w:val="nil"/>
              <w:right w:val="nil"/>
            </w:tcBorders>
            <w:shd w:val="clear" w:color="000000" w:fill="BFBFBF"/>
            <w:vAlign w:val="center"/>
            <w:hideMark/>
          </w:tcPr>
          <w:p w14:paraId="268681A5" w14:textId="77777777" w:rsidR="00F925D0" w:rsidRPr="00A75675" w:rsidRDefault="00FF070F" w:rsidP="00F925D0">
            <w:pPr>
              <w:jc w:val="center"/>
              <w:rPr>
                <w:rFonts w:cs="Arial"/>
                <w:b/>
                <w:bCs/>
                <w:color w:val="000000"/>
                <w:szCs w:val="22"/>
              </w:rPr>
            </w:pPr>
            <w:r w:rsidRPr="00A75675">
              <w:rPr>
                <w:rFonts w:cs="Arial"/>
                <w:b/>
                <w:bCs/>
                <w:color w:val="000000"/>
                <w:szCs w:val="22"/>
              </w:rPr>
              <w:t>£000</w:t>
            </w:r>
          </w:p>
        </w:tc>
        <w:tc>
          <w:tcPr>
            <w:tcW w:w="1599" w:type="dxa"/>
            <w:tcBorders>
              <w:top w:val="nil"/>
              <w:left w:val="nil"/>
              <w:bottom w:val="nil"/>
              <w:right w:val="nil"/>
            </w:tcBorders>
            <w:shd w:val="clear" w:color="000000" w:fill="BFBFBF"/>
            <w:vAlign w:val="center"/>
            <w:hideMark/>
          </w:tcPr>
          <w:p w14:paraId="268681A6" w14:textId="77777777" w:rsidR="00F925D0" w:rsidRPr="00A75675" w:rsidRDefault="00FF070F" w:rsidP="00F925D0">
            <w:pPr>
              <w:jc w:val="center"/>
              <w:rPr>
                <w:rFonts w:cs="Arial"/>
                <w:b/>
                <w:bCs/>
                <w:color w:val="000000"/>
                <w:szCs w:val="22"/>
              </w:rPr>
            </w:pPr>
            <w:r w:rsidRPr="00A75675">
              <w:rPr>
                <w:rFonts w:cs="Arial"/>
                <w:b/>
                <w:bCs/>
                <w:color w:val="000000"/>
                <w:szCs w:val="22"/>
              </w:rPr>
              <w:t>£</w:t>
            </w:r>
          </w:p>
        </w:tc>
        <w:tc>
          <w:tcPr>
            <w:tcW w:w="1085" w:type="dxa"/>
            <w:tcBorders>
              <w:top w:val="nil"/>
              <w:left w:val="nil"/>
              <w:bottom w:val="nil"/>
              <w:right w:val="single" w:sz="4" w:space="0" w:color="auto"/>
            </w:tcBorders>
            <w:shd w:val="clear" w:color="000000" w:fill="BFBFBF"/>
            <w:vAlign w:val="center"/>
            <w:hideMark/>
          </w:tcPr>
          <w:p w14:paraId="268681A7" w14:textId="77777777" w:rsidR="00F925D0" w:rsidRPr="00A75675" w:rsidRDefault="00FF070F" w:rsidP="00F925D0">
            <w:pPr>
              <w:jc w:val="center"/>
              <w:rPr>
                <w:rFonts w:cs="Arial"/>
                <w:b/>
                <w:bCs/>
                <w:color w:val="000000"/>
                <w:szCs w:val="22"/>
              </w:rPr>
            </w:pPr>
            <w:r w:rsidRPr="00A75675">
              <w:rPr>
                <w:rFonts w:cs="Arial"/>
                <w:b/>
                <w:bCs/>
                <w:color w:val="000000"/>
                <w:szCs w:val="22"/>
              </w:rPr>
              <w:t>%</w:t>
            </w:r>
          </w:p>
        </w:tc>
      </w:tr>
      <w:tr w:rsidR="00F1118B" w14:paraId="268681AD" w14:textId="77777777" w:rsidTr="00F925D0">
        <w:trPr>
          <w:trHeight w:val="285"/>
        </w:trPr>
        <w:tc>
          <w:tcPr>
            <w:tcW w:w="2657" w:type="dxa"/>
            <w:tcBorders>
              <w:top w:val="single" w:sz="4" w:space="0" w:color="auto"/>
              <w:left w:val="single" w:sz="4" w:space="0" w:color="auto"/>
              <w:bottom w:val="nil"/>
              <w:right w:val="single" w:sz="4" w:space="0" w:color="auto"/>
            </w:tcBorders>
            <w:shd w:val="clear" w:color="auto" w:fill="auto"/>
            <w:vAlign w:val="center"/>
            <w:hideMark/>
          </w:tcPr>
          <w:p w14:paraId="268681A9" w14:textId="77777777" w:rsidR="00F925D0" w:rsidRPr="00A75675" w:rsidRDefault="00FF070F" w:rsidP="00F925D0">
            <w:pPr>
              <w:rPr>
                <w:rFonts w:cs="Arial"/>
                <w:color w:val="000000"/>
                <w:szCs w:val="22"/>
              </w:rPr>
            </w:pPr>
            <w:r w:rsidRPr="00A75675">
              <w:rPr>
                <w:rFonts w:cs="Arial"/>
                <w:color w:val="000000"/>
                <w:szCs w:val="22"/>
              </w:rPr>
              <w:t> </w:t>
            </w:r>
          </w:p>
        </w:tc>
        <w:tc>
          <w:tcPr>
            <w:tcW w:w="1619" w:type="dxa"/>
            <w:tcBorders>
              <w:top w:val="single" w:sz="4" w:space="0" w:color="auto"/>
              <w:left w:val="nil"/>
              <w:bottom w:val="nil"/>
              <w:right w:val="nil"/>
            </w:tcBorders>
            <w:shd w:val="clear" w:color="auto" w:fill="auto"/>
            <w:vAlign w:val="center"/>
            <w:hideMark/>
          </w:tcPr>
          <w:p w14:paraId="268681AA" w14:textId="77777777" w:rsidR="00F925D0" w:rsidRPr="00A75675" w:rsidRDefault="00FF070F" w:rsidP="00F925D0">
            <w:pPr>
              <w:jc w:val="right"/>
              <w:rPr>
                <w:rFonts w:cs="Arial"/>
                <w:color w:val="000000"/>
                <w:szCs w:val="22"/>
              </w:rPr>
            </w:pPr>
            <w:r w:rsidRPr="00A75675">
              <w:rPr>
                <w:rFonts w:cs="Arial"/>
                <w:color w:val="000000"/>
                <w:szCs w:val="22"/>
              </w:rPr>
              <w:t> </w:t>
            </w:r>
          </w:p>
        </w:tc>
        <w:tc>
          <w:tcPr>
            <w:tcW w:w="1599" w:type="dxa"/>
            <w:tcBorders>
              <w:top w:val="single" w:sz="4" w:space="0" w:color="auto"/>
              <w:left w:val="nil"/>
              <w:bottom w:val="nil"/>
              <w:right w:val="nil"/>
            </w:tcBorders>
            <w:shd w:val="clear" w:color="auto" w:fill="auto"/>
            <w:vAlign w:val="center"/>
            <w:hideMark/>
          </w:tcPr>
          <w:p w14:paraId="268681AB" w14:textId="77777777" w:rsidR="00F925D0" w:rsidRPr="00A75675" w:rsidRDefault="00FF070F" w:rsidP="00F925D0">
            <w:pPr>
              <w:jc w:val="right"/>
              <w:rPr>
                <w:rFonts w:cs="Arial"/>
                <w:color w:val="000000"/>
                <w:szCs w:val="22"/>
              </w:rPr>
            </w:pPr>
            <w:r w:rsidRPr="00A75675">
              <w:rPr>
                <w:rFonts w:cs="Arial"/>
                <w:color w:val="000000"/>
                <w:szCs w:val="22"/>
              </w:rPr>
              <w:t> </w:t>
            </w:r>
          </w:p>
        </w:tc>
        <w:tc>
          <w:tcPr>
            <w:tcW w:w="1085" w:type="dxa"/>
            <w:tcBorders>
              <w:top w:val="single" w:sz="4" w:space="0" w:color="auto"/>
              <w:left w:val="nil"/>
              <w:bottom w:val="nil"/>
              <w:right w:val="single" w:sz="4" w:space="0" w:color="auto"/>
            </w:tcBorders>
            <w:shd w:val="clear" w:color="auto" w:fill="auto"/>
            <w:vAlign w:val="center"/>
            <w:hideMark/>
          </w:tcPr>
          <w:p w14:paraId="268681AC" w14:textId="77777777" w:rsidR="00F925D0" w:rsidRPr="00A75675" w:rsidRDefault="00FF070F" w:rsidP="00F925D0">
            <w:pPr>
              <w:jc w:val="right"/>
              <w:rPr>
                <w:rFonts w:cs="Arial"/>
                <w:color w:val="000000"/>
                <w:szCs w:val="22"/>
              </w:rPr>
            </w:pPr>
            <w:r w:rsidRPr="00A75675">
              <w:rPr>
                <w:rFonts w:cs="Arial"/>
                <w:color w:val="000000"/>
                <w:szCs w:val="22"/>
              </w:rPr>
              <w:t> </w:t>
            </w:r>
          </w:p>
        </w:tc>
      </w:tr>
      <w:tr w:rsidR="00F1118B" w14:paraId="268681B2" w14:textId="77777777" w:rsidTr="00F925D0">
        <w:trPr>
          <w:trHeight w:val="285"/>
        </w:trPr>
        <w:tc>
          <w:tcPr>
            <w:tcW w:w="2657" w:type="dxa"/>
            <w:tcBorders>
              <w:top w:val="nil"/>
              <w:left w:val="single" w:sz="4" w:space="0" w:color="auto"/>
              <w:bottom w:val="nil"/>
              <w:right w:val="single" w:sz="4" w:space="0" w:color="auto"/>
            </w:tcBorders>
            <w:shd w:val="clear" w:color="auto" w:fill="auto"/>
            <w:vAlign w:val="center"/>
            <w:hideMark/>
          </w:tcPr>
          <w:p w14:paraId="268681AE" w14:textId="77777777" w:rsidR="00F925D0" w:rsidRPr="00A75675" w:rsidRDefault="00FF070F" w:rsidP="00F925D0">
            <w:pPr>
              <w:rPr>
                <w:rFonts w:cs="Arial"/>
                <w:color w:val="000000"/>
                <w:szCs w:val="22"/>
              </w:rPr>
            </w:pPr>
            <w:r w:rsidRPr="00A75675">
              <w:rPr>
                <w:rFonts w:cs="Arial"/>
                <w:color w:val="000000"/>
                <w:szCs w:val="22"/>
              </w:rPr>
              <w:t xml:space="preserve">Debt Management Office </w:t>
            </w:r>
          </w:p>
        </w:tc>
        <w:tc>
          <w:tcPr>
            <w:tcW w:w="1619" w:type="dxa"/>
            <w:tcBorders>
              <w:top w:val="nil"/>
              <w:left w:val="nil"/>
              <w:bottom w:val="nil"/>
              <w:right w:val="nil"/>
            </w:tcBorders>
            <w:shd w:val="clear" w:color="auto" w:fill="auto"/>
            <w:vAlign w:val="center"/>
            <w:hideMark/>
          </w:tcPr>
          <w:p w14:paraId="268681AF" w14:textId="77777777" w:rsidR="00F925D0" w:rsidRPr="00A75675" w:rsidRDefault="00FF070F" w:rsidP="00F925D0">
            <w:pPr>
              <w:jc w:val="right"/>
              <w:rPr>
                <w:rFonts w:cs="Arial"/>
                <w:color w:val="000000"/>
                <w:szCs w:val="22"/>
              </w:rPr>
            </w:pPr>
            <w:r w:rsidRPr="00A75675">
              <w:rPr>
                <w:rFonts w:cs="Arial"/>
                <w:color w:val="000000"/>
                <w:szCs w:val="22"/>
              </w:rPr>
              <w:t>0</w:t>
            </w:r>
          </w:p>
        </w:tc>
        <w:tc>
          <w:tcPr>
            <w:tcW w:w="1599" w:type="dxa"/>
            <w:tcBorders>
              <w:top w:val="nil"/>
              <w:left w:val="nil"/>
              <w:bottom w:val="nil"/>
              <w:right w:val="nil"/>
            </w:tcBorders>
            <w:shd w:val="clear" w:color="auto" w:fill="auto"/>
            <w:vAlign w:val="center"/>
            <w:hideMark/>
          </w:tcPr>
          <w:p w14:paraId="268681B0" w14:textId="77777777" w:rsidR="00F925D0" w:rsidRPr="00A75675" w:rsidRDefault="00FF070F" w:rsidP="00F925D0">
            <w:pPr>
              <w:jc w:val="right"/>
              <w:rPr>
                <w:rFonts w:cs="Arial"/>
                <w:color w:val="000000"/>
                <w:szCs w:val="22"/>
              </w:rPr>
            </w:pPr>
            <w:r w:rsidRPr="00A75675">
              <w:rPr>
                <w:rFonts w:cs="Arial"/>
                <w:color w:val="000000"/>
                <w:szCs w:val="22"/>
              </w:rPr>
              <w:t>0</w:t>
            </w:r>
          </w:p>
        </w:tc>
        <w:tc>
          <w:tcPr>
            <w:tcW w:w="1085" w:type="dxa"/>
            <w:tcBorders>
              <w:top w:val="nil"/>
              <w:left w:val="nil"/>
              <w:bottom w:val="nil"/>
              <w:right w:val="single" w:sz="4" w:space="0" w:color="auto"/>
            </w:tcBorders>
            <w:shd w:val="clear" w:color="auto" w:fill="auto"/>
            <w:vAlign w:val="center"/>
            <w:hideMark/>
          </w:tcPr>
          <w:p w14:paraId="268681B1" w14:textId="77777777" w:rsidR="00F925D0" w:rsidRPr="00A75675" w:rsidRDefault="00FF070F" w:rsidP="00F925D0">
            <w:pPr>
              <w:jc w:val="right"/>
              <w:rPr>
                <w:rFonts w:cs="Arial"/>
                <w:color w:val="000000"/>
                <w:szCs w:val="22"/>
              </w:rPr>
            </w:pPr>
            <w:r w:rsidRPr="00A75675">
              <w:rPr>
                <w:rFonts w:cs="Arial"/>
                <w:color w:val="000000"/>
                <w:szCs w:val="22"/>
              </w:rPr>
              <w:t>0.00</w:t>
            </w:r>
          </w:p>
        </w:tc>
      </w:tr>
      <w:tr w:rsidR="00F1118B" w14:paraId="268681B7" w14:textId="77777777" w:rsidTr="00F925D0">
        <w:trPr>
          <w:trHeight w:val="285"/>
        </w:trPr>
        <w:tc>
          <w:tcPr>
            <w:tcW w:w="2657" w:type="dxa"/>
            <w:tcBorders>
              <w:top w:val="nil"/>
              <w:left w:val="single" w:sz="4" w:space="0" w:color="auto"/>
              <w:bottom w:val="nil"/>
              <w:right w:val="single" w:sz="4" w:space="0" w:color="auto"/>
            </w:tcBorders>
            <w:shd w:val="clear" w:color="auto" w:fill="auto"/>
            <w:vAlign w:val="center"/>
            <w:hideMark/>
          </w:tcPr>
          <w:p w14:paraId="268681B3" w14:textId="77777777" w:rsidR="00F925D0" w:rsidRPr="00A75675" w:rsidRDefault="00FF070F" w:rsidP="00F925D0">
            <w:pPr>
              <w:rPr>
                <w:rFonts w:cs="Arial"/>
                <w:color w:val="000000"/>
                <w:szCs w:val="22"/>
              </w:rPr>
            </w:pPr>
            <w:r w:rsidRPr="00A75675">
              <w:rPr>
                <w:rFonts w:cs="Arial"/>
                <w:color w:val="000000"/>
                <w:szCs w:val="22"/>
              </w:rPr>
              <w:t>Other fixed term deposits</w:t>
            </w:r>
          </w:p>
        </w:tc>
        <w:tc>
          <w:tcPr>
            <w:tcW w:w="1619" w:type="dxa"/>
            <w:tcBorders>
              <w:top w:val="nil"/>
              <w:left w:val="nil"/>
              <w:bottom w:val="nil"/>
              <w:right w:val="nil"/>
            </w:tcBorders>
            <w:shd w:val="clear" w:color="auto" w:fill="auto"/>
            <w:vAlign w:val="center"/>
            <w:hideMark/>
          </w:tcPr>
          <w:p w14:paraId="268681B4" w14:textId="77777777" w:rsidR="00F925D0" w:rsidRPr="00A75675" w:rsidRDefault="00FF070F" w:rsidP="00F925D0">
            <w:pPr>
              <w:jc w:val="right"/>
              <w:rPr>
                <w:rFonts w:cs="Arial"/>
                <w:color w:val="000000"/>
                <w:szCs w:val="22"/>
              </w:rPr>
            </w:pPr>
            <w:r w:rsidRPr="00A75675">
              <w:rPr>
                <w:rFonts w:cs="Arial"/>
                <w:color w:val="000000"/>
                <w:szCs w:val="22"/>
              </w:rPr>
              <w:t>18,467</w:t>
            </w:r>
          </w:p>
        </w:tc>
        <w:tc>
          <w:tcPr>
            <w:tcW w:w="1599" w:type="dxa"/>
            <w:tcBorders>
              <w:top w:val="nil"/>
              <w:left w:val="nil"/>
              <w:bottom w:val="nil"/>
              <w:right w:val="nil"/>
            </w:tcBorders>
            <w:shd w:val="clear" w:color="auto" w:fill="auto"/>
            <w:vAlign w:val="center"/>
            <w:hideMark/>
          </w:tcPr>
          <w:p w14:paraId="268681B5" w14:textId="77777777" w:rsidR="00F925D0" w:rsidRPr="00A75675" w:rsidRDefault="00FF070F" w:rsidP="00F925D0">
            <w:pPr>
              <w:jc w:val="right"/>
              <w:rPr>
                <w:rFonts w:cs="Arial"/>
                <w:color w:val="000000"/>
                <w:szCs w:val="22"/>
              </w:rPr>
            </w:pPr>
            <w:r w:rsidRPr="00A75675">
              <w:rPr>
                <w:rFonts w:cs="Arial"/>
                <w:color w:val="000000"/>
                <w:szCs w:val="22"/>
              </w:rPr>
              <w:t>91,708</w:t>
            </w:r>
          </w:p>
        </w:tc>
        <w:tc>
          <w:tcPr>
            <w:tcW w:w="1085" w:type="dxa"/>
            <w:tcBorders>
              <w:top w:val="nil"/>
              <w:left w:val="nil"/>
              <w:bottom w:val="nil"/>
              <w:right w:val="single" w:sz="4" w:space="0" w:color="auto"/>
            </w:tcBorders>
            <w:shd w:val="clear" w:color="auto" w:fill="auto"/>
            <w:vAlign w:val="center"/>
            <w:hideMark/>
          </w:tcPr>
          <w:p w14:paraId="268681B6" w14:textId="77777777" w:rsidR="00F925D0" w:rsidRPr="00A75675" w:rsidRDefault="00FF070F" w:rsidP="00F925D0">
            <w:pPr>
              <w:jc w:val="right"/>
              <w:rPr>
                <w:rFonts w:cs="Arial"/>
                <w:color w:val="000000"/>
                <w:szCs w:val="22"/>
              </w:rPr>
            </w:pPr>
            <w:r w:rsidRPr="00A75675">
              <w:rPr>
                <w:rFonts w:cs="Arial"/>
                <w:color w:val="000000"/>
                <w:szCs w:val="22"/>
              </w:rPr>
              <w:t>0.99</w:t>
            </w:r>
          </w:p>
        </w:tc>
      </w:tr>
      <w:tr w:rsidR="00F1118B" w14:paraId="268681BC" w14:textId="77777777" w:rsidTr="00F925D0">
        <w:trPr>
          <w:trHeight w:val="285"/>
        </w:trPr>
        <w:tc>
          <w:tcPr>
            <w:tcW w:w="2657" w:type="dxa"/>
            <w:tcBorders>
              <w:top w:val="nil"/>
              <w:left w:val="single" w:sz="4" w:space="0" w:color="auto"/>
              <w:bottom w:val="nil"/>
              <w:right w:val="single" w:sz="4" w:space="0" w:color="auto"/>
            </w:tcBorders>
            <w:shd w:val="clear" w:color="auto" w:fill="auto"/>
            <w:vAlign w:val="center"/>
            <w:hideMark/>
          </w:tcPr>
          <w:p w14:paraId="268681B8" w14:textId="77777777" w:rsidR="00F925D0" w:rsidRPr="00A75675" w:rsidRDefault="00FF070F" w:rsidP="00F925D0">
            <w:pPr>
              <w:rPr>
                <w:rFonts w:cs="Arial"/>
                <w:color w:val="000000"/>
                <w:szCs w:val="22"/>
              </w:rPr>
            </w:pPr>
            <w:r w:rsidRPr="00A75675">
              <w:rPr>
                <w:rFonts w:cs="Arial"/>
                <w:color w:val="000000"/>
                <w:szCs w:val="22"/>
              </w:rPr>
              <w:t>Notice Accounts</w:t>
            </w:r>
          </w:p>
        </w:tc>
        <w:tc>
          <w:tcPr>
            <w:tcW w:w="1619" w:type="dxa"/>
            <w:tcBorders>
              <w:top w:val="nil"/>
              <w:left w:val="nil"/>
              <w:bottom w:val="nil"/>
              <w:right w:val="nil"/>
            </w:tcBorders>
            <w:shd w:val="clear" w:color="auto" w:fill="auto"/>
            <w:vAlign w:val="center"/>
            <w:hideMark/>
          </w:tcPr>
          <w:p w14:paraId="268681B9" w14:textId="77777777" w:rsidR="00F925D0" w:rsidRPr="00A75675" w:rsidRDefault="00FF070F" w:rsidP="00F925D0">
            <w:pPr>
              <w:jc w:val="right"/>
              <w:rPr>
                <w:rFonts w:cs="Arial"/>
                <w:color w:val="000000"/>
                <w:szCs w:val="22"/>
              </w:rPr>
            </w:pPr>
            <w:r w:rsidRPr="00A75675">
              <w:rPr>
                <w:rFonts w:cs="Arial"/>
                <w:color w:val="000000"/>
                <w:szCs w:val="22"/>
              </w:rPr>
              <w:t>9,000</w:t>
            </w:r>
          </w:p>
        </w:tc>
        <w:tc>
          <w:tcPr>
            <w:tcW w:w="1599" w:type="dxa"/>
            <w:tcBorders>
              <w:top w:val="nil"/>
              <w:left w:val="nil"/>
              <w:bottom w:val="nil"/>
              <w:right w:val="nil"/>
            </w:tcBorders>
            <w:shd w:val="clear" w:color="auto" w:fill="auto"/>
            <w:vAlign w:val="center"/>
            <w:hideMark/>
          </w:tcPr>
          <w:p w14:paraId="268681BA" w14:textId="77777777" w:rsidR="00F925D0" w:rsidRPr="00A75675" w:rsidRDefault="00FF070F" w:rsidP="00F925D0">
            <w:pPr>
              <w:jc w:val="right"/>
              <w:rPr>
                <w:rFonts w:cs="Arial"/>
                <w:color w:val="000000"/>
                <w:szCs w:val="22"/>
              </w:rPr>
            </w:pPr>
            <w:r w:rsidRPr="00A75675">
              <w:rPr>
                <w:rFonts w:cs="Arial"/>
                <w:color w:val="000000"/>
                <w:szCs w:val="22"/>
              </w:rPr>
              <w:t>47,730</w:t>
            </w:r>
          </w:p>
        </w:tc>
        <w:tc>
          <w:tcPr>
            <w:tcW w:w="1085" w:type="dxa"/>
            <w:tcBorders>
              <w:top w:val="nil"/>
              <w:left w:val="nil"/>
              <w:bottom w:val="nil"/>
              <w:right w:val="single" w:sz="4" w:space="0" w:color="auto"/>
            </w:tcBorders>
            <w:shd w:val="clear" w:color="auto" w:fill="auto"/>
            <w:vAlign w:val="center"/>
            <w:hideMark/>
          </w:tcPr>
          <w:p w14:paraId="268681BB" w14:textId="77777777" w:rsidR="00F925D0" w:rsidRPr="00A75675" w:rsidRDefault="00FF070F" w:rsidP="00F925D0">
            <w:pPr>
              <w:jc w:val="right"/>
              <w:rPr>
                <w:rFonts w:cs="Arial"/>
                <w:color w:val="000000"/>
                <w:szCs w:val="22"/>
              </w:rPr>
            </w:pPr>
            <w:r w:rsidRPr="00A75675">
              <w:rPr>
                <w:rFonts w:cs="Arial"/>
                <w:color w:val="000000"/>
                <w:szCs w:val="22"/>
              </w:rPr>
              <w:t>1.06</w:t>
            </w:r>
          </w:p>
        </w:tc>
      </w:tr>
      <w:tr w:rsidR="00F1118B" w14:paraId="268681C1" w14:textId="77777777" w:rsidTr="00F925D0">
        <w:trPr>
          <w:trHeight w:val="285"/>
        </w:trPr>
        <w:tc>
          <w:tcPr>
            <w:tcW w:w="2657" w:type="dxa"/>
            <w:tcBorders>
              <w:top w:val="nil"/>
              <w:left w:val="single" w:sz="4" w:space="0" w:color="auto"/>
              <w:bottom w:val="nil"/>
              <w:right w:val="single" w:sz="4" w:space="0" w:color="auto"/>
            </w:tcBorders>
            <w:shd w:val="clear" w:color="auto" w:fill="auto"/>
            <w:vAlign w:val="center"/>
            <w:hideMark/>
          </w:tcPr>
          <w:p w14:paraId="268681BD" w14:textId="77777777" w:rsidR="00F925D0" w:rsidRPr="00A75675" w:rsidRDefault="00FF070F" w:rsidP="00F925D0">
            <w:pPr>
              <w:rPr>
                <w:rFonts w:cs="Arial"/>
                <w:color w:val="000000"/>
                <w:szCs w:val="22"/>
              </w:rPr>
            </w:pPr>
            <w:r w:rsidRPr="00A75675">
              <w:rPr>
                <w:rFonts w:cs="Arial"/>
                <w:color w:val="000000"/>
                <w:szCs w:val="22"/>
              </w:rPr>
              <w:t>Call accounts</w:t>
            </w:r>
          </w:p>
        </w:tc>
        <w:tc>
          <w:tcPr>
            <w:tcW w:w="1619" w:type="dxa"/>
            <w:tcBorders>
              <w:top w:val="nil"/>
              <w:left w:val="nil"/>
              <w:bottom w:val="nil"/>
              <w:right w:val="nil"/>
            </w:tcBorders>
            <w:shd w:val="clear" w:color="auto" w:fill="auto"/>
            <w:vAlign w:val="center"/>
            <w:hideMark/>
          </w:tcPr>
          <w:p w14:paraId="268681BE" w14:textId="77777777" w:rsidR="00F925D0" w:rsidRPr="00A75675" w:rsidRDefault="00FF070F" w:rsidP="00F925D0">
            <w:pPr>
              <w:jc w:val="right"/>
              <w:rPr>
                <w:rFonts w:cs="Arial"/>
                <w:color w:val="000000"/>
                <w:szCs w:val="22"/>
              </w:rPr>
            </w:pPr>
            <w:r w:rsidRPr="00A75675">
              <w:rPr>
                <w:rFonts w:cs="Arial"/>
                <w:color w:val="000000"/>
                <w:szCs w:val="22"/>
              </w:rPr>
              <w:t>2,152</w:t>
            </w:r>
          </w:p>
        </w:tc>
        <w:tc>
          <w:tcPr>
            <w:tcW w:w="1599" w:type="dxa"/>
            <w:tcBorders>
              <w:top w:val="nil"/>
              <w:left w:val="nil"/>
              <w:bottom w:val="nil"/>
              <w:right w:val="nil"/>
            </w:tcBorders>
            <w:shd w:val="clear" w:color="auto" w:fill="auto"/>
            <w:vAlign w:val="center"/>
            <w:hideMark/>
          </w:tcPr>
          <w:p w14:paraId="268681BF" w14:textId="77777777" w:rsidR="00F925D0" w:rsidRPr="00A75675" w:rsidRDefault="00FF070F" w:rsidP="00F925D0">
            <w:pPr>
              <w:jc w:val="right"/>
              <w:rPr>
                <w:rFonts w:cs="Arial"/>
                <w:color w:val="000000"/>
                <w:szCs w:val="22"/>
              </w:rPr>
            </w:pPr>
            <w:r w:rsidRPr="00A75675">
              <w:rPr>
                <w:rFonts w:cs="Arial"/>
                <w:color w:val="000000"/>
                <w:szCs w:val="22"/>
              </w:rPr>
              <w:t>6,482</w:t>
            </w:r>
          </w:p>
        </w:tc>
        <w:tc>
          <w:tcPr>
            <w:tcW w:w="1085" w:type="dxa"/>
            <w:tcBorders>
              <w:top w:val="nil"/>
              <w:left w:val="nil"/>
              <w:bottom w:val="nil"/>
              <w:right w:val="single" w:sz="4" w:space="0" w:color="auto"/>
            </w:tcBorders>
            <w:shd w:val="clear" w:color="auto" w:fill="auto"/>
            <w:vAlign w:val="center"/>
            <w:hideMark/>
          </w:tcPr>
          <w:p w14:paraId="268681C0" w14:textId="77777777" w:rsidR="00F925D0" w:rsidRPr="00A75675" w:rsidRDefault="00FF070F" w:rsidP="00F925D0">
            <w:pPr>
              <w:jc w:val="right"/>
              <w:rPr>
                <w:rFonts w:cs="Arial"/>
                <w:color w:val="000000"/>
                <w:szCs w:val="22"/>
              </w:rPr>
            </w:pPr>
            <w:r w:rsidRPr="00A75675">
              <w:rPr>
                <w:rFonts w:cs="Arial"/>
                <w:color w:val="000000"/>
                <w:szCs w:val="22"/>
              </w:rPr>
              <w:t>0.60</w:t>
            </w:r>
          </w:p>
        </w:tc>
      </w:tr>
      <w:tr w:rsidR="00F1118B" w14:paraId="268681C6" w14:textId="77777777" w:rsidTr="00F925D0">
        <w:trPr>
          <w:trHeight w:val="285"/>
        </w:trPr>
        <w:tc>
          <w:tcPr>
            <w:tcW w:w="2657" w:type="dxa"/>
            <w:tcBorders>
              <w:top w:val="nil"/>
              <w:left w:val="single" w:sz="4" w:space="0" w:color="auto"/>
              <w:bottom w:val="nil"/>
              <w:right w:val="single" w:sz="4" w:space="0" w:color="auto"/>
            </w:tcBorders>
            <w:shd w:val="clear" w:color="auto" w:fill="auto"/>
            <w:vAlign w:val="center"/>
            <w:hideMark/>
          </w:tcPr>
          <w:p w14:paraId="268681C2" w14:textId="77777777" w:rsidR="00F925D0" w:rsidRPr="00A75675" w:rsidRDefault="00FF070F" w:rsidP="00F925D0">
            <w:pPr>
              <w:rPr>
                <w:rFonts w:cs="Arial"/>
                <w:color w:val="000000"/>
                <w:szCs w:val="22"/>
              </w:rPr>
            </w:pPr>
            <w:r w:rsidRPr="00A75675">
              <w:rPr>
                <w:rFonts w:cs="Arial"/>
                <w:color w:val="000000"/>
                <w:szCs w:val="22"/>
              </w:rPr>
              <w:t>Money Market Funds</w:t>
            </w:r>
          </w:p>
        </w:tc>
        <w:tc>
          <w:tcPr>
            <w:tcW w:w="1619" w:type="dxa"/>
            <w:tcBorders>
              <w:top w:val="nil"/>
              <w:left w:val="nil"/>
              <w:bottom w:val="nil"/>
              <w:right w:val="nil"/>
            </w:tcBorders>
            <w:shd w:val="clear" w:color="auto" w:fill="auto"/>
            <w:vAlign w:val="center"/>
            <w:hideMark/>
          </w:tcPr>
          <w:p w14:paraId="268681C3" w14:textId="77777777" w:rsidR="00F925D0" w:rsidRPr="00A75675" w:rsidRDefault="00FF070F" w:rsidP="00F925D0">
            <w:pPr>
              <w:jc w:val="right"/>
              <w:rPr>
                <w:rFonts w:cs="Arial"/>
                <w:color w:val="000000"/>
                <w:szCs w:val="22"/>
              </w:rPr>
            </w:pPr>
            <w:r w:rsidRPr="00A75675">
              <w:rPr>
                <w:rFonts w:cs="Arial"/>
                <w:color w:val="000000"/>
                <w:szCs w:val="22"/>
              </w:rPr>
              <w:t>10,238</w:t>
            </w:r>
          </w:p>
        </w:tc>
        <w:tc>
          <w:tcPr>
            <w:tcW w:w="1599" w:type="dxa"/>
            <w:tcBorders>
              <w:top w:val="nil"/>
              <w:left w:val="nil"/>
              <w:bottom w:val="nil"/>
              <w:right w:val="nil"/>
            </w:tcBorders>
            <w:shd w:val="clear" w:color="auto" w:fill="auto"/>
            <w:vAlign w:val="center"/>
            <w:hideMark/>
          </w:tcPr>
          <w:p w14:paraId="268681C4" w14:textId="77777777" w:rsidR="00F925D0" w:rsidRPr="00A75675" w:rsidRDefault="00FF070F" w:rsidP="00F925D0">
            <w:pPr>
              <w:jc w:val="right"/>
              <w:rPr>
                <w:rFonts w:cs="Arial"/>
                <w:color w:val="000000"/>
                <w:szCs w:val="22"/>
              </w:rPr>
            </w:pPr>
            <w:r w:rsidRPr="00A75675">
              <w:rPr>
                <w:rFonts w:cs="Arial"/>
                <w:color w:val="000000"/>
                <w:szCs w:val="22"/>
              </w:rPr>
              <w:t>36,111</w:t>
            </w:r>
          </w:p>
        </w:tc>
        <w:tc>
          <w:tcPr>
            <w:tcW w:w="1085" w:type="dxa"/>
            <w:tcBorders>
              <w:top w:val="nil"/>
              <w:left w:val="nil"/>
              <w:bottom w:val="nil"/>
              <w:right w:val="single" w:sz="4" w:space="0" w:color="auto"/>
            </w:tcBorders>
            <w:shd w:val="clear" w:color="auto" w:fill="auto"/>
            <w:vAlign w:val="center"/>
            <w:hideMark/>
          </w:tcPr>
          <w:p w14:paraId="268681C5" w14:textId="77777777" w:rsidR="00F925D0" w:rsidRPr="00A75675" w:rsidRDefault="00FF070F" w:rsidP="00F925D0">
            <w:pPr>
              <w:jc w:val="right"/>
              <w:rPr>
                <w:rFonts w:cs="Arial"/>
                <w:color w:val="000000"/>
                <w:szCs w:val="22"/>
              </w:rPr>
            </w:pPr>
            <w:r w:rsidRPr="00A75675">
              <w:rPr>
                <w:rFonts w:cs="Arial"/>
                <w:color w:val="000000"/>
                <w:szCs w:val="22"/>
              </w:rPr>
              <w:t>0.70</w:t>
            </w:r>
          </w:p>
        </w:tc>
      </w:tr>
      <w:tr w:rsidR="00F1118B" w14:paraId="268681CB" w14:textId="77777777" w:rsidTr="00F925D0">
        <w:trPr>
          <w:trHeight w:val="300"/>
        </w:trPr>
        <w:tc>
          <w:tcPr>
            <w:tcW w:w="2657" w:type="dxa"/>
            <w:tcBorders>
              <w:top w:val="nil"/>
              <w:left w:val="single" w:sz="4" w:space="0" w:color="auto"/>
              <w:bottom w:val="nil"/>
              <w:right w:val="single" w:sz="4" w:space="0" w:color="auto"/>
            </w:tcBorders>
            <w:shd w:val="clear" w:color="auto" w:fill="auto"/>
            <w:vAlign w:val="center"/>
            <w:hideMark/>
          </w:tcPr>
          <w:p w14:paraId="268681C7" w14:textId="77777777" w:rsidR="00F925D0" w:rsidRPr="00A75675" w:rsidRDefault="00FF070F" w:rsidP="00F925D0">
            <w:pPr>
              <w:rPr>
                <w:rFonts w:cs="Arial"/>
                <w:color w:val="000000"/>
                <w:szCs w:val="22"/>
              </w:rPr>
            </w:pPr>
            <w:r w:rsidRPr="00A75675">
              <w:rPr>
                <w:rFonts w:cs="Arial"/>
                <w:color w:val="000000"/>
                <w:szCs w:val="22"/>
              </w:rPr>
              <w:t> </w:t>
            </w:r>
          </w:p>
        </w:tc>
        <w:tc>
          <w:tcPr>
            <w:tcW w:w="1619" w:type="dxa"/>
            <w:tcBorders>
              <w:top w:val="nil"/>
              <w:left w:val="nil"/>
              <w:bottom w:val="single" w:sz="8" w:space="0" w:color="auto"/>
              <w:right w:val="nil"/>
            </w:tcBorders>
            <w:shd w:val="clear" w:color="auto" w:fill="auto"/>
            <w:vAlign w:val="center"/>
            <w:hideMark/>
          </w:tcPr>
          <w:p w14:paraId="268681C8" w14:textId="77777777" w:rsidR="00F925D0" w:rsidRPr="00A75675" w:rsidRDefault="00FF070F" w:rsidP="00F925D0">
            <w:pPr>
              <w:jc w:val="right"/>
              <w:rPr>
                <w:rFonts w:cs="Arial"/>
                <w:color w:val="000000"/>
                <w:szCs w:val="22"/>
              </w:rPr>
            </w:pPr>
            <w:r w:rsidRPr="00A75675">
              <w:rPr>
                <w:rFonts w:cs="Arial"/>
                <w:color w:val="000000"/>
                <w:szCs w:val="22"/>
              </w:rPr>
              <w:t> </w:t>
            </w:r>
          </w:p>
        </w:tc>
        <w:tc>
          <w:tcPr>
            <w:tcW w:w="1599" w:type="dxa"/>
            <w:tcBorders>
              <w:top w:val="nil"/>
              <w:left w:val="nil"/>
              <w:bottom w:val="single" w:sz="8" w:space="0" w:color="auto"/>
              <w:right w:val="nil"/>
            </w:tcBorders>
            <w:shd w:val="clear" w:color="auto" w:fill="auto"/>
            <w:vAlign w:val="center"/>
            <w:hideMark/>
          </w:tcPr>
          <w:p w14:paraId="268681C9" w14:textId="77777777" w:rsidR="00F925D0" w:rsidRPr="00A75675" w:rsidRDefault="00FF070F" w:rsidP="00F925D0">
            <w:pPr>
              <w:jc w:val="right"/>
              <w:rPr>
                <w:rFonts w:cs="Arial"/>
                <w:color w:val="000000"/>
                <w:szCs w:val="22"/>
              </w:rPr>
            </w:pPr>
            <w:r w:rsidRPr="00A75675">
              <w:rPr>
                <w:rFonts w:cs="Arial"/>
                <w:color w:val="000000"/>
                <w:szCs w:val="22"/>
              </w:rPr>
              <w:t> </w:t>
            </w:r>
          </w:p>
        </w:tc>
        <w:tc>
          <w:tcPr>
            <w:tcW w:w="1085" w:type="dxa"/>
            <w:tcBorders>
              <w:top w:val="nil"/>
              <w:left w:val="nil"/>
              <w:bottom w:val="single" w:sz="8" w:space="0" w:color="auto"/>
              <w:right w:val="single" w:sz="4" w:space="0" w:color="auto"/>
            </w:tcBorders>
            <w:shd w:val="clear" w:color="auto" w:fill="auto"/>
            <w:vAlign w:val="center"/>
            <w:hideMark/>
          </w:tcPr>
          <w:p w14:paraId="268681CA" w14:textId="77777777" w:rsidR="00F925D0" w:rsidRPr="00A75675" w:rsidRDefault="00FF070F" w:rsidP="00F925D0">
            <w:pPr>
              <w:jc w:val="right"/>
              <w:rPr>
                <w:rFonts w:cs="Arial"/>
                <w:color w:val="000000"/>
                <w:szCs w:val="22"/>
              </w:rPr>
            </w:pPr>
            <w:r w:rsidRPr="00A75675">
              <w:rPr>
                <w:rFonts w:cs="Arial"/>
                <w:color w:val="000000"/>
                <w:szCs w:val="22"/>
              </w:rPr>
              <w:t> </w:t>
            </w:r>
          </w:p>
        </w:tc>
      </w:tr>
      <w:tr w:rsidR="00F1118B" w14:paraId="268681D0" w14:textId="77777777" w:rsidTr="00F925D0">
        <w:trPr>
          <w:trHeight w:val="300"/>
        </w:trPr>
        <w:tc>
          <w:tcPr>
            <w:tcW w:w="2657" w:type="dxa"/>
            <w:tcBorders>
              <w:top w:val="nil"/>
              <w:left w:val="single" w:sz="4" w:space="0" w:color="auto"/>
              <w:bottom w:val="single" w:sz="4" w:space="0" w:color="auto"/>
              <w:right w:val="single" w:sz="4" w:space="0" w:color="auto"/>
            </w:tcBorders>
            <w:shd w:val="clear" w:color="auto" w:fill="auto"/>
            <w:vAlign w:val="center"/>
            <w:hideMark/>
          </w:tcPr>
          <w:p w14:paraId="268681CC" w14:textId="77777777" w:rsidR="00F925D0" w:rsidRPr="00A75675" w:rsidRDefault="00FF070F" w:rsidP="00F925D0">
            <w:pPr>
              <w:rPr>
                <w:rFonts w:cs="Arial"/>
                <w:b/>
                <w:bCs/>
                <w:color w:val="000000"/>
                <w:szCs w:val="22"/>
              </w:rPr>
            </w:pPr>
            <w:r w:rsidRPr="00A75675">
              <w:rPr>
                <w:rFonts w:cs="Arial"/>
                <w:b/>
                <w:bCs/>
                <w:color w:val="000000"/>
                <w:szCs w:val="22"/>
              </w:rPr>
              <w:t>Total</w:t>
            </w:r>
          </w:p>
        </w:tc>
        <w:tc>
          <w:tcPr>
            <w:tcW w:w="1619" w:type="dxa"/>
            <w:tcBorders>
              <w:top w:val="nil"/>
              <w:left w:val="nil"/>
              <w:bottom w:val="single" w:sz="4" w:space="0" w:color="auto"/>
              <w:right w:val="nil"/>
            </w:tcBorders>
            <w:shd w:val="clear" w:color="auto" w:fill="auto"/>
            <w:vAlign w:val="center"/>
            <w:hideMark/>
          </w:tcPr>
          <w:p w14:paraId="268681CD" w14:textId="77777777" w:rsidR="00F925D0" w:rsidRPr="00A75675" w:rsidRDefault="00FF070F" w:rsidP="00F925D0">
            <w:pPr>
              <w:jc w:val="right"/>
              <w:rPr>
                <w:rFonts w:cs="Arial"/>
                <w:b/>
                <w:bCs/>
                <w:color w:val="000000"/>
                <w:szCs w:val="22"/>
              </w:rPr>
            </w:pPr>
            <w:r w:rsidRPr="00A75675">
              <w:rPr>
                <w:rFonts w:cs="Arial"/>
                <w:b/>
                <w:bCs/>
                <w:color w:val="000000"/>
                <w:szCs w:val="22"/>
              </w:rPr>
              <w:t>39,857</w:t>
            </w:r>
          </w:p>
        </w:tc>
        <w:tc>
          <w:tcPr>
            <w:tcW w:w="1599" w:type="dxa"/>
            <w:tcBorders>
              <w:top w:val="nil"/>
              <w:left w:val="nil"/>
              <w:bottom w:val="single" w:sz="4" w:space="0" w:color="auto"/>
              <w:right w:val="nil"/>
            </w:tcBorders>
            <w:shd w:val="clear" w:color="auto" w:fill="auto"/>
            <w:vAlign w:val="center"/>
            <w:hideMark/>
          </w:tcPr>
          <w:p w14:paraId="268681CE" w14:textId="77777777" w:rsidR="00F925D0" w:rsidRPr="00A75675" w:rsidRDefault="00FF070F" w:rsidP="00F925D0">
            <w:pPr>
              <w:jc w:val="right"/>
              <w:rPr>
                <w:rFonts w:cs="Arial"/>
                <w:b/>
                <w:bCs/>
                <w:color w:val="000000"/>
                <w:szCs w:val="22"/>
              </w:rPr>
            </w:pPr>
            <w:r w:rsidRPr="00A75675">
              <w:rPr>
                <w:rFonts w:cs="Arial"/>
                <w:b/>
                <w:bCs/>
                <w:color w:val="000000"/>
                <w:szCs w:val="22"/>
              </w:rPr>
              <w:t>182,031</w:t>
            </w:r>
          </w:p>
        </w:tc>
        <w:tc>
          <w:tcPr>
            <w:tcW w:w="1085" w:type="dxa"/>
            <w:tcBorders>
              <w:top w:val="nil"/>
              <w:left w:val="nil"/>
              <w:bottom w:val="single" w:sz="4" w:space="0" w:color="auto"/>
              <w:right w:val="single" w:sz="4" w:space="0" w:color="auto"/>
            </w:tcBorders>
            <w:shd w:val="clear" w:color="auto" w:fill="auto"/>
            <w:vAlign w:val="center"/>
            <w:hideMark/>
          </w:tcPr>
          <w:p w14:paraId="268681CF" w14:textId="77777777" w:rsidR="00F925D0" w:rsidRPr="00A75675" w:rsidRDefault="00FF070F" w:rsidP="00F925D0">
            <w:pPr>
              <w:jc w:val="right"/>
              <w:rPr>
                <w:rFonts w:cs="Arial"/>
                <w:b/>
                <w:bCs/>
                <w:color w:val="000000"/>
                <w:szCs w:val="22"/>
              </w:rPr>
            </w:pPr>
            <w:r w:rsidRPr="00A75675">
              <w:rPr>
                <w:rFonts w:cs="Arial"/>
                <w:b/>
                <w:bCs/>
                <w:color w:val="000000"/>
                <w:szCs w:val="22"/>
              </w:rPr>
              <w:t>0.91</w:t>
            </w:r>
          </w:p>
        </w:tc>
      </w:tr>
    </w:tbl>
    <w:p w14:paraId="268681D1" w14:textId="77777777" w:rsidR="00F925D0" w:rsidRDefault="00FE0CBF" w:rsidP="00F925D0">
      <w:pPr>
        <w:pStyle w:val="ListParagraph"/>
        <w:tabs>
          <w:tab w:val="left" w:pos="567"/>
        </w:tabs>
      </w:pPr>
    </w:p>
    <w:p w14:paraId="268681D2" w14:textId="77777777" w:rsidR="00F925D0" w:rsidRDefault="00FE0CBF" w:rsidP="00F925D0">
      <w:pPr>
        <w:pStyle w:val="ListParagraph"/>
        <w:tabs>
          <w:tab w:val="left" w:pos="567"/>
        </w:tabs>
      </w:pPr>
    </w:p>
    <w:p w14:paraId="268681D3" w14:textId="77777777" w:rsidR="00F925D0" w:rsidRDefault="00FE0CBF" w:rsidP="00F925D0">
      <w:pPr>
        <w:pStyle w:val="ListParagraph"/>
        <w:tabs>
          <w:tab w:val="left" w:pos="567"/>
        </w:tabs>
      </w:pPr>
    </w:p>
    <w:p w14:paraId="268681D4" w14:textId="77777777" w:rsidR="00F925D0" w:rsidRDefault="00FE0CBF" w:rsidP="00F925D0">
      <w:pPr>
        <w:pStyle w:val="ListParagraph"/>
        <w:tabs>
          <w:tab w:val="left" w:pos="567"/>
        </w:tabs>
      </w:pPr>
    </w:p>
    <w:p w14:paraId="268681D5" w14:textId="77777777" w:rsidR="00F925D0" w:rsidRDefault="00FE0CBF" w:rsidP="00F925D0">
      <w:pPr>
        <w:pStyle w:val="ListParagraph"/>
        <w:tabs>
          <w:tab w:val="left" w:pos="567"/>
        </w:tabs>
      </w:pPr>
    </w:p>
    <w:p w14:paraId="268681D6" w14:textId="77777777" w:rsidR="00F925D0" w:rsidRDefault="00FE0CBF" w:rsidP="00F925D0">
      <w:pPr>
        <w:pStyle w:val="ListParagraph"/>
        <w:tabs>
          <w:tab w:val="left" w:pos="567"/>
        </w:tabs>
      </w:pPr>
    </w:p>
    <w:p w14:paraId="268681D7" w14:textId="77777777" w:rsidR="00F925D0" w:rsidRDefault="00FE0CBF" w:rsidP="00F925D0">
      <w:pPr>
        <w:pStyle w:val="ListParagraph"/>
        <w:tabs>
          <w:tab w:val="left" w:pos="567"/>
        </w:tabs>
      </w:pPr>
    </w:p>
    <w:p w14:paraId="268681D8" w14:textId="77777777" w:rsidR="00F925D0" w:rsidRDefault="00FE0CBF" w:rsidP="00F925D0">
      <w:pPr>
        <w:pStyle w:val="ListParagraph"/>
        <w:tabs>
          <w:tab w:val="left" w:pos="567"/>
        </w:tabs>
      </w:pPr>
    </w:p>
    <w:p w14:paraId="268681D9" w14:textId="77777777" w:rsidR="00F925D0" w:rsidRDefault="00FE0CBF" w:rsidP="00F925D0">
      <w:pPr>
        <w:pStyle w:val="ListParagraph"/>
        <w:tabs>
          <w:tab w:val="left" w:pos="567"/>
        </w:tabs>
      </w:pPr>
    </w:p>
    <w:p w14:paraId="268681DA" w14:textId="77777777" w:rsidR="00F925D0" w:rsidRDefault="00FE0CBF" w:rsidP="00F925D0">
      <w:pPr>
        <w:pStyle w:val="ListParagraph"/>
        <w:tabs>
          <w:tab w:val="left" w:pos="567"/>
        </w:tabs>
      </w:pPr>
    </w:p>
    <w:p w14:paraId="268681DB" w14:textId="77777777" w:rsidR="00F925D0" w:rsidRDefault="00FE0CBF" w:rsidP="00F925D0">
      <w:pPr>
        <w:pStyle w:val="ListParagraph"/>
        <w:tabs>
          <w:tab w:val="left" w:pos="567"/>
        </w:tabs>
      </w:pPr>
    </w:p>
    <w:p w14:paraId="268681DC" w14:textId="77777777" w:rsidR="00F925D0" w:rsidRDefault="00FE0CBF" w:rsidP="00F925D0">
      <w:pPr>
        <w:pStyle w:val="ListParagraph"/>
        <w:tabs>
          <w:tab w:val="left" w:pos="567"/>
        </w:tabs>
      </w:pPr>
    </w:p>
    <w:p w14:paraId="268681DD" w14:textId="77777777" w:rsidR="00F925D0" w:rsidRDefault="00FE0CBF" w:rsidP="00F925D0">
      <w:pPr>
        <w:pStyle w:val="ListParagraph"/>
        <w:tabs>
          <w:tab w:val="left" w:pos="567"/>
        </w:tabs>
      </w:pPr>
    </w:p>
    <w:p w14:paraId="268681DE" w14:textId="77777777" w:rsidR="00F925D0" w:rsidRDefault="00FE0CBF" w:rsidP="00F925D0">
      <w:pPr>
        <w:pStyle w:val="ListParagraph"/>
        <w:tabs>
          <w:tab w:val="left" w:pos="567"/>
        </w:tabs>
      </w:pPr>
    </w:p>
    <w:p w14:paraId="268681DF" w14:textId="77777777" w:rsidR="00F925D0" w:rsidRDefault="00FE0CBF" w:rsidP="00F925D0">
      <w:pPr>
        <w:pStyle w:val="ListParagraph"/>
        <w:tabs>
          <w:tab w:val="left" w:pos="567"/>
        </w:tabs>
      </w:pPr>
    </w:p>
    <w:p w14:paraId="268681E0" w14:textId="77777777" w:rsidR="00F925D0" w:rsidRDefault="00FE0CBF" w:rsidP="00F925D0">
      <w:pPr>
        <w:pStyle w:val="ListParagraph"/>
        <w:tabs>
          <w:tab w:val="left" w:pos="567"/>
        </w:tabs>
      </w:pPr>
    </w:p>
    <w:p w14:paraId="268681E1" w14:textId="77777777" w:rsidR="00F925D0" w:rsidRDefault="00FF070F" w:rsidP="00F925D0">
      <w:pPr>
        <w:pStyle w:val="ListParagraph"/>
        <w:numPr>
          <w:ilvl w:val="0"/>
          <w:numId w:val="17"/>
        </w:numPr>
        <w:tabs>
          <w:tab w:val="left" w:pos="567"/>
        </w:tabs>
      </w:pPr>
      <w:r>
        <w:t>The DMO’s Debt Management Account Deposit Facility (DMADF) was not used in the first half of the financial year.</w:t>
      </w:r>
    </w:p>
    <w:p w14:paraId="268681E2" w14:textId="77777777" w:rsidR="00F925D0" w:rsidRDefault="00FE0CBF" w:rsidP="00F925D0">
      <w:pPr>
        <w:pStyle w:val="ListParagraph"/>
        <w:tabs>
          <w:tab w:val="left" w:pos="567"/>
        </w:tabs>
      </w:pPr>
    </w:p>
    <w:p w14:paraId="268681E3" w14:textId="77777777" w:rsidR="00F925D0" w:rsidRDefault="00FF070F" w:rsidP="00F925D0">
      <w:pPr>
        <w:pStyle w:val="ListParagraph"/>
        <w:numPr>
          <w:ilvl w:val="0"/>
          <w:numId w:val="17"/>
        </w:numPr>
        <w:tabs>
          <w:tab w:val="left" w:pos="567"/>
        </w:tabs>
      </w:pPr>
      <w:r>
        <w:t>The average daily investment of £39.857m continues to be well above the £10m minimum balance invested for the Council to qualify as a professional investor under MiFID II requirements.</w:t>
      </w:r>
    </w:p>
    <w:p w14:paraId="268681E4" w14:textId="77777777" w:rsidR="00F925D0" w:rsidRDefault="00FE0CBF" w:rsidP="00F925D0">
      <w:pPr>
        <w:pStyle w:val="ListParagraph"/>
        <w:tabs>
          <w:tab w:val="left" w:pos="567"/>
        </w:tabs>
      </w:pPr>
    </w:p>
    <w:p w14:paraId="268681E5" w14:textId="77777777" w:rsidR="00F925D0" w:rsidRDefault="00FF070F" w:rsidP="00F925D0">
      <w:pPr>
        <w:pStyle w:val="ListParagraph"/>
        <w:numPr>
          <w:ilvl w:val="0"/>
          <w:numId w:val="17"/>
        </w:numPr>
        <w:tabs>
          <w:tab w:val="left" w:pos="567"/>
        </w:tabs>
      </w:pPr>
      <w:r>
        <w:t>A full list of investment counterparties and their associated limits is shown at Appendix A.</w:t>
      </w:r>
    </w:p>
    <w:p w14:paraId="268681E6" w14:textId="77777777" w:rsidR="00F925D0" w:rsidRDefault="00FE0CBF" w:rsidP="00F925D0">
      <w:pPr>
        <w:pStyle w:val="ListParagraph"/>
        <w:tabs>
          <w:tab w:val="left" w:pos="567"/>
        </w:tabs>
      </w:pPr>
    </w:p>
    <w:p w14:paraId="268681E7" w14:textId="77777777" w:rsidR="00F925D0" w:rsidRDefault="00FF070F" w:rsidP="00F925D0">
      <w:pPr>
        <w:pStyle w:val="ListParagraph"/>
        <w:numPr>
          <w:ilvl w:val="0"/>
          <w:numId w:val="17"/>
        </w:numPr>
        <w:tabs>
          <w:tab w:val="left" w:pos="567"/>
        </w:tabs>
      </w:pPr>
      <w:r>
        <w:lastRenderedPageBreak/>
        <w:t>A full list of investments as at 30 September 2019 is presented as Appendix B. All investments were within the maximum limits per counterparty permitted by the approved Investment Strategy for 2019/20.</w:t>
      </w:r>
    </w:p>
    <w:p w14:paraId="268681E8" w14:textId="77777777" w:rsidR="00F925D0" w:rsidRDefault="00FE0CBF" w:rsidP="00F925D0">
      <w:pPr>
        <w:pStyle w:val="ListParagraph"/>
        <w:tabs>
          <w:tab w:val="left" w:pos="567"/>
        </w:tabs>
      </w:pPr>
    </w:p>
    <w:p w14:paraId="268681E9" w14:textId="77777777" w:rsidR="00F925D0" w:rsidRDefault="00FF070F" w:rsidP="00F925D0">
      <w:pPr>
        <w:pStyle w:val="ListParagraph"/>
        <w:numPr>
          <w:ilvl w:val="0"/>
          <w:numId w:val="17"/>
        </w:numPr>
        <w:tabs>
          <w:tab w:val="left" w:pos="567"/>
        </w:tabs>
      </w:pPr>
      <w:r>
        <w:t xml:space="preserve">The investment durations per bank or building society suggested by Link Asset Services as at November 2019 are presented in Appendix C. The Council receives weekly updates, and suggested durations are checked online at the time of placing any term deposits with banks or building societies. The limit per institution is as approved by Council on 27 February 2019. </w:t>
      </w:r>
    </w:p>
    <w:p w14:paraId="268681EA" w14:textId="77777777" w:rsidR="00F925D0" w:rsidRDefault="00FE0CBF" w:rsidP="00F925D0">
      <w:pPr>
        <w:pStyle w:val="ListParagraph"/>
        <w:tabs>
          <w:tab w:val="left" w:pos="567"/>
        </w:tabs>
      </w:pPr>
    </w:p>
    <w:p w14:paraId="268681EB" w14:textId="77777777" w:rsidR="00F925D0" w:rsidRDefault="00FF070F" w:rsidP="00F925D0">
      <w:pPr>
        <w:pStyle w:val="ListParagraph"/>
        <w:numPr>
          <w:ilvl w:val="0"/>
          <w:numId w:val="17"/>
        </w:numPr>
        <w:tabs>
          <w:tab w:val="left" w:pos="567"/>
        </w:tabs>
      </w:pPr>
      <w:r>
        <w:t>The average interest earned of 0.91% exceeds the target of 0.66% (being the average LIBID 7-day rate plus 15%). It also exceeds the Link Asset Services suggested earnings rate of 0.75% for 2019/20 (see Table 3 below).</w:t>
      </w:r>
    </w:p>
    <w:p w14:paraId="268681EC" w14:textId="77777777" w:rsidR="00F925D0" w:rsidRDefault="00FE0CBF" w:rsidP="00F925D0">
      <w:pPr>
        <w:pStyle w:val="ListParagraph"/>
        <w:tabs>
          <w:tab w:val="left" w:pos="567"/>
        </w:tabs>
      </w:pPr>
    </w:p>
    <w:p w14:paraId="268681ED" w14:textId="77777777" w:rsidR="00F925D0" w:rsidRDefault="00FF070F" w:rsidP="00F925D0">
      <w:pPr>
        <w:pStyle w:val="ListParagraph"/>
        <w:numPr>
          <w:ilvl w:val="0"/>
          <w:numId w:val="17"/>
        </w:numPr>
        <w:tabs>
          <w:tab w:val="left" w:pos="567"/>
        </w:tabs>
      </w:pPr>
      <w:r>
        <w:t>The comparison to the interest receivable budget is as follows:</w:t>
      </w:r>
    </w:p>
    <w:p w14:paraId="268681EE" w14:textId="77777777" w:rsidR="00244BF5" w:rsidRDefault="00FE0CBF" w:rsidP="00244BF5">
      <w:pPr>
        <w:pStyle w:val="ListParagraph"/>
      </w:pPr>
    </w:p>
    <w:tbl>
      <w:tblPr>
        <w:tblW w:w="5720" w:type="dxa"/>
        <w:tblInd w:w="1953" w:type="dxa"/>
        <w:tblLook w:val="04A0" w:firstRow="1" w:lastRow="0" w:firstColumn="1" w:lastColumn="0" w:noHBand="0" w:noVBand="1"/>
      </w:tblPr>
      <w:tblGrid>
        <w:gridCol w:w="2056"/>
        <w:gridCol w:w="1076"/>
        <w:gridCol w:w="1454"/>
        <w:gridCol w:w="1134"/>
      </w:tblGrid>
      <w:tr w:rsidR="00F1118B" w14:paraId="268681F3" w14:textId="77777777" w:rsidTr="00883382">
        <w:trPr>
          <w:trHeight w:val="900"/>
        </w:trPr>
        <w:tc>
          <w:tcPr>
            <w:tcW w:w="2056" w:type="dxa"/>
            <w:tcBorders>
              <w:top w:val="single" w:sz="4" w:space="0" w:color="auto"/>
              <w:left w:val="single" w:sz="4" w:space="0" w:color="auto"/>
              <w:bottom w:val="nil"/>
              <w:right w:val="single" w:sz="4" w:space="0" w:color="auto"/>
            </w:tcBorders>
            <w:shd w:val="clear" w:color="000000" w:fill="BFBFBF"/>
            <w:vAlign w:val="center"/>
            <w:hideMark/>
          </w:tcPr>
          <w:p w14:paraId="268681EF" w14:textId="77777777" w:rsidR="00244BF5" w:rsidRPr="007E1E6A" w:rsidRDefault="00FF070F" w:rsidP="00883382">
            <w:pPr>
              <w:rPr>
                <w:rFonts w:cs="Arial"/>
                <w:b/>
                <w:bCs/>
                <w:color w:val="000000"/>
                <w:szCs w:val="22"/>
              </w:rPr>
            </w:pPr>
            <w:r w:rsidRPr="007E1E6A">
              <w:rPr>
                <w:rFonts w:cs="Arial"/>
                <w:b/>
                <w:bCs/>
                <w:color w:val="000000"/>
                <w:szCs w:val="22"/>
              </w:rPr>
              <w:t>Table 2 - Interest Receivable Budget</w:t>
            </w:r>
          </w:p>
        </w:tc>
        <w:tc>
          <w:tcPr>
            <w:tcW w:w="1076" w:type="dxa"/>
            <w:tcBorders>
              <w:top w:val="single" w:sz="4" w:space="0" w:color="auto"/>
              <w:left w:val="nil"/>
              <w:bottom w:val="nil"/>
              <w:right w:val="nil"/>
            </w:tcBorders>
            <w:shd w:val="clear" w:color="000000" w:fill="BFBFBF"/>
            <w:vAlign w:val="center"/>
            <w:hideMark/>
          </w:tcPr>
          <w:p w14:paraId="268681F0" w14:textId="77777777" w:rsidR="00244BF5" w:rsidRPr="007E1E6A" w:rsidRDefault="00FF070F" w:rsidP="00883382">
            <w:pPr>
              <w:jc w:val="center"/>
              <w:rPr>
                <w:rFonts w:cs="Arial"/>
                <w:b/>
                <w:bCs/>
                <w:color w:val="000000"/>
                <w:szCs w:val="22"/>
              </w:rPr>
            </w:pPr>
            <w:r w:rsidRPr="007E1E6A">
              <w:rPr>
                <w:rFonts w:cs="Arial"/>
                <w:b/>
                <w:bCs/>
                <w:color w:val="000000"/>
                <w:szCs w:val="22"/>
              </w:rPr>
              <w:t>Budget for 2019/20</w:t>
            </w:r>
          </w:p>
        </w:tc>
        <w:tc>
          <w:tcPr>
            <w:tcW w:w="1454" w:type="dxa"/>
            <w:tcBorders>
              <w:top w:val="single" w:sz="4" w:space="0" w:color="auto"/>
              <w:left w:val="nil"/>
              <w:bottom w:val="nil"/>
              <w:right w:val="nil"/>
            </w:tcBorders>
            <w:shd w:val="clear" w:color="000000" w:fill="BFBFBF"/>
            <w:vAlign w:val="center"/>
            <w:hideMark/>
          </w:tcPr>
          <w:p w14:paraId="268681F1" w14:textId="77777777" w:rsidR="00244BF5" w:rsidRPr="007E1E6A" w:rsidRDefault="00FF070F" w:rsidP="00883382">
            <w:pPr>
              <w:jc w:val="center"/>
              <w:rPr>
                <w:rFonts w:cs="Arial"/>
                <w:b/>
                <w:bCs/>
                <w:color w:val="000000"/>
                <w:szCs w:val="22"/>
              </w:rPr>
            </w:pPr>
            <w:r w:rsidRPr="007E1E6A">
              <w:rPr>
                <w:rFonts w:cs="Arial"/>
                <w:b/>
                <w:bCs/>
                <w:color w:val="000000"/>
                <w:szCs w:val="22"/>
              </w:rPr>
              <w:t>Actual to 30 September 2019</w:t>
            </w:r>
          </w:p>
        </w:tc>
        <w:tc>
          <w:tcPr>
            <w:tcW w:w="1134" w:type="dxa"/>
            <w:tcBorders>
              <w:top w:val="single" w:sz="4" w:space="0" w:color="auto"/>
              <w:left w:val="nil"/>
              <w:bottom w:val="nil"/>
              <w:right w:val="single" w:sz="4" w:space="0" w:color="auto"/>
            </w:tcBorders>
            <w:shd w:val="clear" w:color="000000" w:fill="BFBFBF"/>
            <w:vAlign w:val="center"/>
            <w:hideMark/>
          </w:tcPr>
          <w:p w14:paraId="268681F2" w14:textId="77777777" w:rsidR="00244BF5" w:rsidRPr="007E1E6A" w:rsidRDefault="00FF070F" w:rsidP="00883382">
            <w:pPr>
              <w:jc w:val="center"/>
              <w:rPr>
                <w:rFonts w:cs="Arial"/>
                <w:b/>
                <w:bCs/>
                <w:color w:val="000000"/>
                <w:szCs w:val="22"/>
              </w:rPr>
            </w:pPr>
            <w:r w:rsidRPr="007E1E6A">
              <w:rPr>
                <w:rFonts w:cs="Arial"/>
                <w:b/>
                <w:bCs/>
                <w:color w:val="000000"/>
                <w:szCs w:val="22"/>
              </w:rPr>
              <w:t>Forecast for year</w:t>
            </w:r>
          </w:p>
        </w:tc>
      </w:tr>
      <w:tr w:rsidR="00F1118B" w14:paraId="268681F8" w14:textId="77777777" w:rsidTr="00883382">
        <w:trPr>
          <w:trHeight w:val="315"/>
        </w:trPr>
        <w:tc>
          <w:tcPr>
            <w:tcW w:w="2056" w:type="dxa"/>
            <w:tcBorders>
              <w:top w:val="nil"/>
              <w:left w:val="single" w:sz="4" w:space="0" w:color="auto"/>
              <w:bottom w:val="single" w:sz="8" w:space="0" w:color="auto"/>
              <w:right w:val="single" w:sz="4" w:space="0" w:color="auto"/>
            </w:tcBorders>
            <w:shd w:val="clear" w:color="000000" w:fill="BFBFBF"/>
            <w:vAlign w:val="center"/>
            <w:hideMark/>
          </w:tcPr>
          <w:p w14:paraId="268681F4" w14:textId="77777777" w:rsidR="00244BF5" w:rsidRPr="007E1E6A" w:rsidRDefault="00FF070F" w:rsidP="00883382">
            <w:pPr>
              <w:rPr>
                <w:rFonts w:cs="Arial"/>
                <w:b/>
                <w:bCs/>
                <w:color w:val="000000"/>
                <w:szCs w:val="22"/>
              </w:rPr>
            </w:pPr>
            <w:r w:rsidRPr="007E1E6A">
              <w:rPr>
                <w:rFonts w:cs="Arial"/>
                <w:b/>
                <w:bCs/>
                <w:color w:val="000000"/>
                <w:szCs w:val="22"/>
              </w:rPr>
              <w:t> </w:t>
            </w:r>
          </w:p>
        </w:tc>
        <w:tc>
          <w:tcPr>
            <w:tcW w:w="1076" w:type="dxa"/>
            <w:tcBorders>
              <w:top w:val="nil"/>
              <w:left w:val="nil"/>
              <w:bottom w:val="single" w:sz="8" w:space="0" w:color="auto"/>
              <w:right w:val="nil"/>
            </w:tcBorders>
            <w:shd w:val="clear" w:color="000000" w:fill="BFBFBF"/>
            <w:vAlign w:val="center"/>
            <w:hideMark/>
          </w:tcPr>
          <w:p w14:paraId="268681F5" w14:textId="77777777" w:rsidR="00244BF5" w:rsidRPr="007E1E6A" w:rsidRDefault="00FF070F" w:rsidP="00883382">
            <w:pPr>
              <w:jc w:val="center"/>
              <w:rPr>
                <w:rFonts w:cs="Arial"/>
                <w:b/>
                <w:bCs/>
                <w:color w:val="000000"/>
                <w:szCs w:val="22"/>
              </w:rPr>
            </w:pPr>
            <w:r w:rsidRPr="007E1E6A">
              <w:rPr>
                <w:rFonts w:cs="Arial"/>
                <w:b/>
                <w:bCs/>
                <w:color w:val="000000"/>
                <w:szCs w:val="22"/>
              </w:rPr>
              <w:t>£000</w:t>
            </w:r>
          </w:p>
        </w:tc>
        <w:tc>
          <w:tcPr>
            <w:tcW w:w="1454" w:type="dxa"/>
            <w:tcBorders>
              <w:top w:val="nil"/>
              <w:left w:val="nil"/>
              <w:bottom w:val="single" w:sz="8" w:space="0" w:color="auto"/>
              <w:right w:val="nil"/>
            </w:tcBorders>
            <w:shd w:val="clear" w:color="000000" w:fill="BFBFBF"/>
            <w:vAlign w:val="center"/>
            <w:hideMark/>
          </w:tcPr>
          <w:p w14:paraId="268681F6" w14:textId="77777777" w:rsidR="00244BF5" w:rsidRPr="007E1E6A" w:rsidRDefault="00FF070F" w:rsidP="00883382">
            <w:pPr>
              <w:jc w:val="center"/>
              <w:rPr>
                <w:rFonts w:cs="Arial"/>
                <w:b/>
                <w:bCs/>
                <w:color w:val="000000"/>
                <w:szCs w:val="22"/>
              </w:rPr>
            </w:pPr>
            <w:r w:rsidRPr="007E1E6A">
              <w:rPr>
                <w:rFonts w:cs="Arial"/>
                <w:b/>
                <w:bCs/>
                <w:color w:val="000000"/>
                <w:szCs w:val="22"/>
              </w:rPr>
              <w:t>£000</w:t>
            </w:r>
          </w:p>
        </w:tc>
        <w:tc>
          <w:tcPr>
            <w:tcW w:w="1134" w:type="dxa"/>
            <w:tcBorders>
              <w:top w:val="nil"/>
              <w:left w:val="nil"/>
              <w:bottom w:val="single" w:sz="8" w:space="0" w:color="auto"/>
              <w:right w:val="single" w:sz="4" w:space="0" w:color="auto"/>
            </w:tcBorders>
            <w:shd w:val="clear" w:color="000000" w:fill="BFBFBF"/>
            <w:vAlign w:val="center"/>
            <w:hideMark/>
          </w:tcPr>
          <w:p w14:paraId="268681F7" w14:textId="77777777" w:rsidR="00244BF5" w:rsidRPr="007E1E6A" w:rsidRDefault="00FF070F" w:rsidP="00883382">
            <w:pPr>
              <w:jc w:val="center"/>
              <w:rPr>
                <w:rFonts w:cs="Arial"/>
                <w:b/>
                <w:bCs/>
                <w:color w:val="000000"/>
                <w:szCs w:val="22"/>
              </w:rPr>
            </w:pPr>
            <w:r w:rsidRPr="007E1E6A">
              <w:rPr>
                <w:rFonts w:cs="Arial"/>
                <w:b/>
                <w:bCs/>
                <w:color w:val="000000"/>
                <w:szCs w:val="22"/>
              </w:rPr>
              <w:t>£000</w:t>
            </w:r>
          </w:p>
        </w:tc>
      </w:tr>
      <w:tr w:rsidR="00F1118B" w14:paraId="268681FD" w14:textId="77777777" w:rsidTr="00883382">
        <w:trPr>
          <w:trHeight w:val="285"/>
        </w:trPr>
        <w:tc>
          <w:tcPr>
            <w:tcW w:w="2056" w:type="dxa"/>
            <w:tcBorders>
              <w:top w:val="nil"/>
              <w:left w:val="single" w:sz="4" w:space="0" w:color="auto"/>
              <w:bottom w:val="nil"/>
              <w:right w:val="single" w:sz="4" w:space="0" w:color="auto"/>
            </w:tcBorders>
            <w:shd w:val="clear" w:color="auto" w:fill="auto"/>
            <w:vAlign w:val="center"/>
            <w:hideMark/>
          </w:tcPr>
          <w:p w14:paraId="268681F9" w14:textId="77777777" w:rsidR="00244BF5" w:rsidRPr="007E1E6A" w:rsidRDefault="00FF070F" w:rsidP="00883382">
            <w:pPr>
              <w:rPr>
                <w:rFonts w:cs="Arial"/>
                <w:color w:val="000000"/>
                <w:szCs w:val="22"/>
              </w:rPr>
            </w:pPr>
            <w:r w:rsidRPr="007E1E6A">
              <w:rPr>
                <w:rFonts w:cs="Arial"/>
                <w:color w:val="000000"/>
                <w:szCs w:val="22"/>
              </w:rPr>
              <w:t> </w:t>
            </w:r>
          </w:p>
        </w:tc>
        <w:tc>
          <w:tcPr>
            <w:tcW w:w="1076" w:type="dxa"/>
            <w:tcBorders>
              <w:top w:val="nil"/>
              <w:left w:val="nil"/>
              <w:bottom w:val="nil"/>
              <w:right w:val="nil"/>
            </w:tcBorders>
            <w:shd w:val="clear" w:color="auto" w:fill="auto"/>
            <w:vAlign w:val="center"/>
            <w:hideMark/>
          </w:tcPr>
          <w:p w14:paraId="268681FA" w14:textId="77777777" w:rsidR="00244BF5" w:rsidRPr="007E1E6A" w:rsidRDefault="00FF070F" w:rsidP="00883382">
            <w:pPr>
              <w:rPr>
                <w:rFonts w:cs="Arial"/>
                <w:color w:val="000000"/>
                <w:szCs w:val="22"/>
              </w:rPr>
            </w:pPr>
            <w:r w:rsidRPr="007E1E6A">
              <w:rPr>
                <w:rFonts w:cs="Arial"/>
                <w:color w:val="000000"/>
                <w:szCs w:val="22"/>
              </w:rPr>
              <w:t> </w:t>
            </w:r>
          </w:p>
        </w:tc>
        <w:tc>
          <w:tcPr>
            <w:tcW w:w="1454" w:type="dxa"/>
            <w:tcBorders>
              <w:top w:val="nil"/>
              <w:left w:val="nil"/>
              <w:bottom w:val="nil"/>
              <w:right w:val="nil"/>
            </w:tcBorders>
            <w:shd w:val="clear" w:color="auto" w:fill="auto"/>
            <w:vAlign w:val="center"/>
            <w:hideMark/>
          </w:tcPr>
          <w:p w14:paraId="268681FB" w14:textId="77777777" w:rsidR="00244BF5" w:rsidRPr="007E1E6A" w:rsidRDefault="00FE0CBF" w:rsidP="00883382">
            <w:pPr>
              <w:rPr>
                <w:rFonts w:cs="Arial"/>
                <w:color w:val="000000"/>
                <w:szCs w:val="22"/>
              </w:rPr>
            </w:pPr>
          </w:p>
        </w:tc>
        <w:tc>
          <w:tcPr>
            <w:tcW w:w="1134" w:type="dxa"/>
            <w:tcBorders>
              <w:top w:val="nil"/>
              <w:left w:val="nil"/>
              <w:bottom w:val="nil"/>
              <w:right w:val="single" w:sz="4" w:space="0" w:color="auto"/>
            </w:tcBorders>
            <w:shd w:val="clear" w:color="auto" w:fill="auto"/>
            <w:vAlign w:val="center"/>
            <w:hideMark/>
          </w:tcPr>
          <w:p w14:paraId="268681FC" w14:textId="77777777" w:rsidR="00244BF5" w:rsidRPr="007E1E6A" w:rsidRDefault="00FF070F" w:rsidP="00883382">
            <w:pPr>
              <w:rPr>
                <w:rFonts w:cs="Arial"/>
                <w:color w:val="000000"/>
                <w:szCs w:val="22"/>
              </w:rPr>
            </w:pPr>
            <w:r w:rsidRPr="007E1E6A">
              <w:rPr>
                <w:rFonts w:cs="Arial"/>
                <w:color w:val="000000"/>
                <w:szCs w:val="22"/>
              </w:rPr>
              <w:t> </w:t>
            </w:r>
          </w:p>
        </w:tc>
      </w:tr>
      <w:tr w:rsidR="00F1118B" w14:paraId="26868202" w14:textId="77777777" w:rsidTr="00883382">
        <w:trPr>
          <w:trHeight w:val="285"/>
        </w:trPr>
        <w:tc>
          <w:tcPr>
            <w:tcW w:w="2056" w:type="dxa"/>
            <w:tcBorders>
              <w:top w:val="nil"/>
              <w:left w:val="single" w:sz="4" w:space="0" w:color="auto"/>
              <w:bottom w:val="nil"/>
              <w:right w:val="single" w:sz="4" w:space="0" w:color="auto"/>
            </w:tcBorders>
            <w:shd w:val="clear" w:color="auto" w:fill="auto"/>
            <w:vAlign w:val="center"/>
            <w:hideMark/>
          </w:tcPr>
          <w:p w14:paraId="268681FE" w14:textId="77777777" w:rsidR="00244BF5" w:rsidRPr="007E1E6A" w:rsidRDefault="00FF070F" w:rsidP="00883382">
            <w:pPr>
              <w:rPr>
                <w:rFonts w:cs="Arial"/>
                <w:color w:val="000000"/>
                <w:szCs w:val="22"/>
              </w:rPr>
            </w:pPr>
            <w:r w:rsidRPr="007E1E6A">
              <w:rPr>
                <w:rFonts w:cs="Arial"/>
                <w:color w:val="000000"/>
                <w:szCs w:val="22"/>
              </w:rPr>
              <w:t>Interest earned</w:t>
            </w:r>
          </w:p>
        </w:tc>
        <w:tc>
          <w:tcPr>
            <w:tcW w:w="1076" w:type="dxa"/>
            <w:tcBorders>
              <w:top w:val="nil"/>
              <w:left w:val="nil"/>
              <w:bottom w:val="nil"/>
              <w:right w:val="nil"/>
            </w:tcBorders>
            <w:shd w:val="clear" w:color="auto" w:fill="auto"/>
            <w:vAlign w:val="center"/>
            <w:hideMark/>
          </w:tcPr>
          <w:p w14:paraId="268681FF" w14:textId="77777777" w:rsidR="00244BF5" w:rsidRPr="007E1E6A" w:rsidRDefault="00FF070F" w:rsidP="00883382">
            <w:pPr>
              <w:jc w:val="right"/>
              <w:rPr>
                <w:rFonts w:cs="Arial"/>
                <w:color w:val="000000"/>
                <w:szCs w:val="22"/>
              </w:rPr>
            </w:pPr>
            <w:r w:rsidRPr="007E1E6A">
              <w:rPr>
                <w:rFonts w:cs="Arial"/>
                <w:color w:val="000000"/>
                <w:szCs w:val="22"/>
              </w:rPr>
              <w:t>220</w:t>
            </w:r>
          </w:p>
        </w:tc>
        <w:tc>
          <w:tcPr>
            <w:tcW w:w="1454" w:type="dxa"/>
            <w:tcBorders>
              <w:top w:val="nil"/>
              <w:left w:val="nil"/>
              <w:bottom w:val="nil"/>
              <w:right w:val="nil"/>
            </w:tcBorders>
            <w:shd w:val="clear" w:color="auto" w:fill="auto"/>
            <w:vAlign w:val="center"/>
            <w:hideMark/>
          </w:tcPr>
          <w:p w14:paraId="26868200" w14:textId="77777777" w:rsidR="00244BF5" w:rsidRPr="007E1E6A" w:rsidRDefault="00FF070F" w:rsidP="00883382">
            <w:pPr>
              <w:jc w:val="right"/>
              <w:rPr>
                <w:rFonts w:cs="Arial"/>
                <w:color w:val="000000"/>
                <w:szCs w:val="22"/>
              </w:rPr>
            </w:pPr>
            <w:r w:rsidRPr="007E1E6A">
              <w:rPr>
                <w:rFonts w:cs="Arial"/>
                <w:color w:val="000000"/>
                <w:szCs w:val="22"/>
              </w:rPr>
              <w:t>182</w:t>
            </w:r>
          </w:p>
        </w:tc>
        <w:tc>
          <w:tcPr>
            <w:tcW w:w="1134" w:type="dxa"/>
            <w:tcBorders>
              <w:top w:val="nil"/>
              <w:left w:val="nil"/>
              <w:bottom w:val="nil"/>
              <w:right w:val="single" w:sz="4" w:space="0" w:color="auto"/>
            </w:tcBorders>
            <w:shd w:val="clear" w:color="auto" w:fill="auto"/>
            <w:vAlign w:val="center"/>
            <w:hideMark/>
          </w:tcPr>
          <w:p w14:paraId="26868201" w14:textId="77777777" w:rsidR="00244BF5" w:rsidRPr="007E1E6A" w:rsidRDefault="00FF070F" w:rsidP="00883382">
            <w:pPr>
              <w:jc w:val="right"/>
              <w:rPr>
                <w:rFonts w:cs="Arial"/>
                <w:color w:val="000000"/>
                <w:szCs w:val="22"/>
              </w:rPr>
            </w:pPr>
            <w:r w:rsidRPr="007E1E6A">
              <w:rPr>
                <w:rFonts w:cs="Arial"/>
                <w:color w:val="000000"/>
                <w:szCs w:val="22"/>
              </w:rPr>
              <w:t>320</w:t>
            </w:r>
          </w:p>
        </w:tc>
      </w:tr>
      <w:tr w:rsidR="00F1118B" w14:paraId="26868207" w14:textId="77777777" w:rsidTr="00883382">
        <w:trPr>
          <w:trHeight w:val="300"/>
        </w:trPr>
        <w:tc>
          <w:tcPr>
            <w:tcW w:w="2056" w:type="dxa"/>
            <w:tcBorders>
              <w:top w:val="nil"/>
              <w:left w:val="single" w:sz="4" w:space="0" w:color="auto"/>
              <w:bottom w:val="nil"/>
              <w:right w:val="single" w:sz="4" w:space="0" w:color="auto"/>
            </w:tcBorders>
            <w:shd w:val="clear" w:color="auto" w:fill="auto"/>
            <w:vAlign w:val="center"/>
            <w:hideMark/>
          </w:tcPr>
          <w:p w14:paraId="26868203" w14:textId="77777777" w:rsidR="00244BF5" w:rsidRPr="007E1E6A" w:rsidRDefault="00FF070F" w:rsidP="00883382">
            <w:pPr>
              <w:rPr>
                <w:rFonts w:cs="Arial"/>
                <w:color w:val="000000"/>
                <w:szCs w:val="22"/>
              </w:rPr>
            </w:pPr>
            <w:r w:rsidRPr="007E1E6A">
              <w:rPr>
                <w:rFonts w:cs="Arial"/>
                <w:color w:val="000000"/>
                <w:szCs w:val="22"/>
              </w:rPr>
              <w:t> </w:t>
            </w:r>
          </w:p>
        </w:tc>
        <w:tc>
          <w:tcPr>
            <w:tcW w:w="1076" w:type="dxa"/>
            <w:tcBorders>
              <w:top w:val="nil"/>
              <w:left w:val="nil"/>
              <w:bottom w:val="nil"/>
              <w:right w:val="nil"/>
            </w:tcBorders>
            <w:shd w:val="clear" w:color="auto" w:fill="auto"/>
            <w:vAlign w:val="center"/>
            <w:hideMark/>
          </w:tcPr>
          <w:p w14:paraId="26868204" w14:textId="77777777" w:rsidR="00244BF5" w:rsidRPr="007E1E6A" w:rsidRDefault="00FF070F" w:rsidP="00883382">
            <w:pPr>
              <w:rPr>
                <w:rFonts w:cs="Arial"/>
                <w:color w:val="000000"/>
                <w:szCs w:val="22"/>
              </w:rPr>
            </w:pPr>
            <w:r w:rsidRPr="007E1E6A">
              <w:rPr>
                <w:rFonts w:cs="Arial"/>
                <w:color w:val="000000"/>
                <w:szCs w:val="22"/>
              </w:rPr>
              <w:t> </w:t>
            </w:r>
          </w:p>
        </w:tc>
        <w:tc>
          <w:tcPr>
            <w:tcW w:w="1454" w:type="dxa"/>
            <w:tcBorders>
              <w:top w:val="nil"/>
              <w:left w:val="nil"/>
              <w:bottom w:val="nil"/>
              <w:right w:val="nil"/>
            </w:tcBorders>
            <w:shd w:val="clear" w:color="auto" w:fill="auto"/>
            <w:vAlign w:val="center"/>
            <w:hideMark/>
          </w:tcPr>
          <w:p w14:paraId="26868205" w14:textId="77777777" w:rsidR="00244BF5" w:rsidRPr="007E1E6A" w:rsidRDefault="00FE0CBF" w:rsidP="00883382">
            <w:pPr>
              <w:rPr>
                <w:rFonts w:cs="Arial"/>
                <w:color w:val="000000"/>
                <w:szCs w:val="22"/>
              </w:rPr>
            </w:pPr>
          </w:p>
        </w:tc>
        <w:tc>
          <w:tcPr>
            <w:tcW w:w="1134" w:type="dxa"/>
            <w:tcBorders>
              <w:top w:val="nil"/>
              <w:left w:val="nil"/>
              <w:bottom w:val="nil"/>
              <w:right w:val="single" w:sz="4" w:space="0" w:color="auto"/>
            </w:tcBorders>
            <w:shd w:val="clear" w:color="auto" w:fill="auto"/>
            <w:vAlign w:val="center"/>
            <w:hideMark/>
          </w:tcPr>
          <w:p w14:paraId="26868206" w14:textId="77777777" w:rsidR="00244BF5" w:rsidRPr="007E1E6A" w:rsidRDefault="00FF070F" w:rsidP="00883382">
            <w:pPr>
              <w:rPr>
                <w:rFonts w:cs="Arial"/>
                <w:color w:val="000000"/>
                <w:szCs w:val="22"/>
              </w:rPr>
            </w:pPr>
            <w:r w:rsidRPr="007E1E6A">
              <w:rPr>
                <w:rFonts w:cs="Arial"/>
                <w:color w:val="000000"/>
                <w:szCs w:val="22"/>
              </w:rPr>
              <w:t> </w:t>
            </w:r>
          </w:p>
        </w:tc>
      </w:tr>
      <w:tr w:rsidR="00F1118B" w14:paraId="2686820C" w14:textId="77777777" w:rsidTr="00883382">
        <w:trPr>
          <w:trHeight w:val="300"/>
        </w:trPr>
        <w:tc>
          <w:tcPr>
            <w:tcW w:w="2056" w:type="dxa"/>
            <w:tcBorders>
              <w:top w:val="nil"/>
              <w:left w:val="single" w:sz="4" w:space="0" w:color="auto"/>
              <w:bottom w:val="single" w:sz="4" w:space="0" w:color="auto"/>
              <w:right w:val="single" w:sz="4" w:space="0" w:color="auto"/>
            </w:tcBorders>
            <w:shd w:val="clear" w:color="auto" w:fill="auto"/>
            <w:vAlign w:val="center"/>
            <w:hideMark/>
          </w:tcPr>
          <w:p w14:paraId="26868208" w14:textId="77777777" w:rsidR="00244BF5" w:rsidRPr="007E1E6A" w:rsidRDefault="00FF070F" w:rsidP="00883382">
            <w:pPr>
              <w:rPr>
                <w:rFonts w:cs="Arial"/>
                <w:b/>
                <w:bCs/>
                <w:color w:val="000000"/>
                <w:szCs w:val="22"/>
              </w:rPr>
            </w:pPr>
            <w:r w:rsidRPr="007E1E6A">
              <w:rPr>
                <w:rFonts w:cs="Arial"/>
                <w:b/>
                <w:bCs/>
                <w:color w:val="000000"/>
                <w:szCs w:val="22"/>
              </w:rPr>
              <w:t>Total</w:t>
            </w:r>
          </w:p>
        </w:tc>
        <w:tc>
          <w:tcPr>
            <w:tcW w:w="1076" w:type="dxa"/>
            <w:tcBorders>
              <w:top w:val="single" w:sz="8" w:space="0" w:color="auto"/>
              <w:left w:val="nil"/>
              <w:bottom w:val="single" w:sz="4" w:space="0" w:color="auto"/>
              <w:right w:val="nil"/>
            </w:tcBorders>
            <w:shd w:val="clear" w:color="auto" w:fill="auto"/>
            <w:vAlign w:val="center"/>
            <w:hideMark/>
          </w:tcPr>
          <w:p w14:paraId="26868209" w14:textId="77777777" w:rsidR="00244BF5" w:rsidRPr="007E1E6A" w:rsidRDefault="00FF070F" w:rsidP="00883382">
            <w:pPr>
              <w:jc w:val="right"/>
              <w:rPr>
                <w:rFonts w:cs="Arial"/>
                <w:b/>
                <w:bCs/>
                <w:color w:val="000000"/>
                <w:szCs w:val="22"/>
              </w:rPr>
            </w:pPr>
            <w:r w:rsidRPr="007E1E6A">
              <w:rPr>
                <w:rFonts w:cs="Arial"/>
                <w:b/>
                <w:bCs/>
                <w:color w:val="000000"/>
                <w:szCs w:val="22"/>
              </w:rPr>
              <w:t>220</w:t>
            </w:r>
          </w:p>
        </w:tc>
        <w:tc>
          <w:tcPr>
            <w:tcW w:w="1454" w:type="dxa"/>
            <w:tcBorders>
              <w:top w:val="single" w:sz="8" w:space="0" w:color="auto"/>
              <w:left w:val="nil"/>
              <w:bottom w:val="single" w:sz="4" w:space="0" w:color="auto"/>
              <w:right w:val="nil"/>
            </w:tcBorders>
            <w:shd w:val="clear" w:color="auto" w:fill="auto"/>
            <w:vAlign w:val="center"/>
            <w:hideMark/>
          </w:tcPr>
          <w:p w14:paraId="2686820A" w14:textId="77777777" w:rsidR="00244BF5" w:rsidRPr="007E1E6A" w:rsidRDefault="00FF070F" w:rsidP="00883382">
            <w:pPr>
              <w:jc w:val="right"/>
              <w:rPr>
                <w:rFonts w:cs="Arial"/>
                <w:b/>
                <w:bCs/>
                <w:color w:val="000000"/>
                <w:szCs w:val="22"/>
              </w:rPr>
            </w:pPr>
            <w:r w:rsidRPr="007E1E6A">
              <w:rPr>
                <w:rFonts w:cs="Arial"/>
                <w:b/>
                <w:bCs/>
                <w:color w:val="000000"/>
                <w:szCs w:val="22"/>
              </w:rPr>
              <w:t>182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686820B" w14:textId="77777777" w:rsidR="00244BF5" w:rsidRPr="007E1E6A" w:rsidRDefault="00FF070F" w:rsidP="00883382">
            <w:pPr>
              <w:jc w:val="right"/>
              <w:rPr>
                <w:rFonts w:cs="Arial"/>
                <w:b/>
                <w:bCs/>
                <w:color w:val="000000"/>
                <w:szCs w:val="22"/>
              </w:rPr>
            </w:pPr>
            <w:r w:rsidRPr="007E1E6A">
              <w:rPr>
                <w:rFonts w:cs="Arial"/>
                <w:b/>
                <w:bCs/>
                <w:color w:val="000000"/>
                <w:szCs w:val="22"/>
              </w:rPr>
              <w:t>320</w:t>
            </w:r>
          </w:p>
        </w:tc>
      </w:tr>
    </w:tbl>
    <w:p w14:paraId="2686820D" w14:textId="77777777" w:rsidR="00244BF5" w:rsidRDefault="00FE0CBF" w:rsidP="00244BF5">
      <w:pPr>
        <w:pStyle w:val="ListParagraph"/>
      </w:pPr>
    </w:p>
    <w:p w14:paraId="2686820E" w14:textId="77777777" w:rsidR="00244BF5" w:rsidRDefault="00FF070F" w:rsidP="00244BF5">
      <w:pPr>
        <w:pStyle w:val="ListParagraph"/>
        <w:numPr>
          <w:ilvl w:val="0"/>
          <w:numId w:val="17"/>
        </w:numPr>
        <w:tabs>
          <w:tab w:val="left" w:pos="567"/>
        </w:tabs>
      </w:pPr>
      <w:r>
        <w:t>No long-term borrowing has been taken to the date of preparing this report. The funding of the 2019/20 Capital Programme requires an element of long-term borrowing and the cost of financing this has been included in the revenue budget for the year. Savings in interest payable may be achieved by delaying external borrowing, or using the Council’s cash balances as an alternative to taking external loans from the Public Works Loan Board (PWLB) or other source. Interest earned on cash balances would reduce as a consequence, but the Council would lose interest receivable at approximately 0.85% to 1.00%, but avoid the relatively higher cost of paying interest to an external lender. For example, the rate on a 40-year annuity loan from the PWLB on 1 November was 3.15%.</w:t>
      </w:r>
    </w:p>
    <w:p w14:paraId="2686820F" w14:textId="77777777" w:rsidR="00244BF5" w:rsidRDefault="00FE0CBF" w:rsidP="00244BF5">
      <w:pPr>
        <w:pStyle w:val="ListParagraph"/>
        <w:tabs>
          <w:tab w:val="left" w:pos="567"/>
        </w:tabs>
      </w:pPr>
    </w:p>
    <w:p w14:paraId="26868210" w14:textId="77777777" w:rsidR="00244BF5" w:rsidRPr="00F925D0" w:rsidRDefault="00FF070F" w:rsidP="00244BF5">
      <w:pPr>
        <w:pStyle w:val="ListParagraph"/>
        <w:numPr>
          <w:ilvl w:val="0"/>
          <w:numId w:val="17"/>
        </w:numPr>
        <w:tabs>
          <w:tab w:val="left" w:pos="567"/>
        </w:tabs>
      </w:pPr>
      <w:r>
        <w:t>On 9 October 2019, without any prior notice or indication that such a move might be expected, the Public Works Loans Board (PWLB) announced an increase of 1% in the margin of its lending rates above gilt yields. Although the rates available from day-to-day will continue to vary, as they did before the announcement, in short this means that the rate payable on any future borrowings from the PWLB will be 1% higher than it would otherwise have been. As an example, on 8 October the interest rate on a new 40-year annuity in loan was 1.95% and on the 9 October the rate was 2.97%. From this it can be seen that the result is a rise of half or more in the costs of new PWLB loans, with significant implications for future spending and financing plans. One possibility that it raises is that more competitive rates may now be available in the commercial market. Early indications are that this is only likely to be viable for amounts of £25-30m and more, but the option will be considered before any further new borrowings are entered into. It is also possible that the Municipal Bonds Agency will be offering loans to local authorities in the future. The Council’s approved Borrowing Strategy does not specify choice of lender and so no amendment is required.</w:t>
      </w:r>
    </w:p>
    <w:p w14:paraId="26868211" w14:textId="77777777" w:rsidR="00F925D0" w:rsidRDefault="00FE0CBF" w:rsidP="00F925D0">
      <w:pPr>
        <w:pStyle w:val="ListParagraph"/>
        <w:tabs>
          <w:tab w:val="left" w:pos="567"/>
        </w:tabs>
      </w:pPr>
    </w:p>
    <w:p w14:paraId="26868212" w14:textId="77777777" w:rsidR="00F925D0" w:rsidRPr="00C278CB" w:rsidRDefault="00FF070F" w:rsidP="00F925D0">
      <w:pPr>
        <w:tabs>
          <w:tab w:val="left" w:pos="567"/>
        </w:tabs>
        <w:ind w:left="567" w:hanging="567"/>
        <w:rPr>
          <w:b/>
          <w:szCs w:val="22"/>
        </w:rPr>
      </w:pPr>
      <w:r>
        <w:rPr>
          <w:b/>
          <w:szCs w:val="22"/>
        </w:rPr>
        <w:lastRenderedPageBreak/>
        <w:t>TREASURY CONSULTANTS ADVICE</w:t>
      </w:r>
    </w:p>
    <w:p w14:paraId="26868213" w14:textId="77777777" w:rsidR="00F925D0" w:rsidRPr="00F925D0" w:rsidRDefault="00FE0CBF" w:rsidP="00F925D0">
      <w:pPr>
        <w:pStyle w:val="ListParagraph"/>
        <w:tabs>
          <w:tab w:val="left" w:pos="567"/>
        </w:tabs>
      </w:pPr>
    </w:p>
    <w:p w14:paraId="26868214" w14:textId="77777777" w:rsidR="00244BF5" w:rsidRDefault="00FF070F" w:rsidP="00244BF5">
      <w:pPr>
        <w:pStyle w:val="ListParagraph"/>
        <w:numPr>
          <w:ilvl w:val="0"/>
          <w:numId w:val="17"/>
        </w:numPr>
        <w:tabs>
          <w:tab w:val="left" w:pos="567"/>
        </w:tabs>
      </w:pPr>
      <w:r>
        <w:t xml:space="preserve">Appendix D presents the advice of Link Asset Services in respect of economic matters and interest rates in the first half of 2019/20. </w:t>
      </w:r>
    </w:p>
    <w:p w14:paraId="26868215" w14:textId="77777777" w:rsidR="00244BF5" w:rsidRDefault="00FE0CBF" w:rsidP="00244BF5">
      <w:pPr>
        <w:pStyle w:val="ListParagraph"/>
        <w:tabs>
          <w:tab w:val="left" w:pos="567"/>
        </w:tabs>
      </w:pPr>
    </w:p>
    <w:p w14:paraId="26868216" w14:textId="77777777" w:rsidR="00244BF5" w:rsidRDefault="00FF070F" w:rsidP="00244BF5">
      <w:pPr>
        <w:pStyle w:val="ListParagraph"/>
        <w:numPr>
          <w:ilvl w:val="0"/>
          <w:numId w:val="17"/>
        </w:numPr>
        <w:tabs>
          <w:tab w:val="left" w:pos="567"/>
        </w:tabs>
      </w:pPr>
      <w:r>
        <w:t>In addition, a detailed comparison of interest rate forecasts is presented as Appendix E. Bank rate and PWLB borrowing rate forecasts are given from the December quarter of 2019 through to the March quarter of 2022.</w:t>
      </w:r>
    </w:p>
    <w:p w14:paraId="26868217" w14:textId="77777777" w:rsidR="00244BF5" w:rsidRDefault="00FE0CBF" w:rsidP="00244BF5">
      <w:pPr>
        <w:pStyle w:val="ListParagraph"/>
        <w:tabs>
          <w:tab w:val="left" w:pos="567"/>
        </w:tabs>
      </w:pPr>
    </w:p>
    <w:p w14:paraId="26868218" w14:textId="77777777" w:rsidR="00244BF5" w:rsidRDefault="00FF070F" w:rsidP="00244BF5">
      <w:pPr>
        <w:pStyle w:val="ListParagraph"/>
        <w:numPr>
          <w:ilvl w:val="0"/>
          <w:numId w:val="17"/>
        </w:numPr>
        <w:tabs>
          <w:tab w:val="left" w:pos="567"/>
        </w:tabs>
      </w:pPr>
      <w:r>
        <w:t>The next increase in Bank Rate from 0.75% to 1.00% is now expected in the December quarter of 2020. When this year’s Treasury Strategy was prepared, it was expected that Base Rate would reach 1.00% in the quarter just ended in September 2019.</w:t>
      </w:r>
    </w:p>
    <w:p w14:paraId="26868219" w14:textId="77777777" w:rsidR="00244BF5" w:rsidRDefault="00FE0CBF" w:rsidP="00244BF5">
      <w:pPr>
        <w:pStyle w:val="ListParagraph"/>
        <w:tabs>
          <w:tab w:val="left" w:pos="567"/>
        </w:tabs>
      </w:pPr>
    </w:p>
    <w:p w14:paraId="2686821A" w14:textId="77777777" w:rsidR="00F925D0" w:rsidRDefault="00FF070F" w:rsidP="00244BF5">
      <w:pPr>
        <w:pStyle w:val="ListParagraph"/>
        <w:numPr>
          <w:ilvl w:val="0"/>
          <w:numId w:val="17"/>
        </w:numPr>
        <w:tabs>
          <w:tab w:val="left" w:pos="567"/>
        </w:tabs>
      </w:pPr>
      <w:r>
        <w:t>Link's suggested budgeted investment earning rates for investments up to about three months duration in each financial year are as follows:</w:t>
      </w:r>
    </w:p>
    <w:p w14:paraId="2686821B" w14:textId="77777777" w:rsidR="00237963" w:rsidRDefault="00FE0CBF" w:rsidP="00237963">
      <w:pPr>
        <w:pStyle w:val="ListParagraph"/>
      </w:pPr>
    </w:p>
    <w:tbl>
      <w:tblPr>
        <w:tblW w:w="4930" w:type="dxa"/>
        <w:tblInd w:w="2347" w:type="dxa"/>
        <w:tblLook w:val="04A0" w:firstRow="1" w:lastRow="0" w:firstColumn="1" w:lastColumn="0" w:noHBand="0" w:noVBand="1"/>
      </w:tblPr>
      <w:tblGrid>
        <w:gridCol w:w="1400"/>
        <w:gridCol w:w="1292"/>
        <w:gridCol w:w="1080"/>
        <w:gridCol w:w="1158"/>
      </w:tblGrid>
      <w:tr w:rsidR="00F1118B" w14:paraId="2686821D" w14:textId="77777777" w:rsidTr="00883382">
        <w:trPr>
          <w:trHeight w:val="300"/>
        </w:trPr>
        <w:tc>
          <w:tcPr>
            <w:tcW w:w="4930"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2686821C" w14:textId="77777777" w:rsidR="00237963" w:rsidRPr="00CE22B4" w:rsidRDefault="00FF070F" w:rsidP="00883382">
            <w:pPr>
              <w:jc w:val="center"/>
              <w:rPr>
                <w:rFonts w:cs="Arial"/>
                <w:b/>
                <w:bCs/>
                <w:color w:val="000000"/>
                <w:szCs w:val="22"/>
              </w:rPr>
            </w:pPr>
            <w:r w:rsidRPr="00CE22B4">
              <w:rPr>
                <w:rFonts w:cs="Arial"/>
                <w:b/>
                <w:bCs/>
                <w:color w:val="000000"/>
                <w:szCs w:val="22"/>
              </w:rPr>
              <w:t>Table 3 - Average Earnings in each financial year</w:t>
            </w:r>
          </w:p>
        </w:tc>
      </w:tr>
      <w:tr w:rsidR="00F1118B" w14:paraId="26868222" w14:textId="77777777" w:rsidTr="00883382">
        <w:trPr>
          <w:trHeight w:val="900"/>
        </w:trPr>
        <w:tc>
          <w:tcPr>
            <w:tcW w:w="1400" w:type="dxa"/>
            <w:tcBorders>
              <w:top w:val="nil"/>
              <w:left w:val="single" w:sz="4" w:space="0" w:color="auto"/>
              <w:bottom w:val="single" w:sz="4" w:space="0" w:color="auto"/>
              <w:right w:val="nil"/>
            </w:tcBorders>
            <w:shd w:val="clear" w:color="000000" w:fill="BFBFBF"/>
            <w:vAlign w:val="center"/>
            <w:hideMark/>
          </w:tcPr>
          <w:p w14:paraId="2686821E" w14:textId="77777777" w:rsidR="00237963" w:rsidRPr="00CE22B4" w:rsidRDefault="00FF070F" w:rsidP="00883382">
            <w:pPr>
              <w:jc w:val="center"/>
              <w:rPr>
                <w:rFonts w:cs="Arial"/>
                <w:b/>
                <w:bCs/>
                <w:color w:val="000000"/>
                <w:szCs w:val="22"/>
              </w:rPr>
            </w:pPr>
            <w:r w:rsidRPr="00CE22B4">
              <w:rPr>
                <w:rFonts w:cs="Arial"/>
                <w:b/>
                <w:bCs/>
                <w:color w:val="000000"/>
                <w:szCs w:val="22"/>
              </w:rPr>
              <w:t> </w:t>
            </w:r>
          </w:p>
        </w:tc>
        <w:tc>
          <w:tcPr>
            <w:tcW w:w="1292" w:type="dxa"/>
            <w:tcBorders>
              <w:top w:val="nil"/>
              <w:left w:val="single" w:sz="4" w:space="0" w:color="auto"/>
              <w:bottom w:val="single" w:sz="4" w:space="0" w:color="auto"/>
              <w:right w:val="nil"/>
            </w:tcBorders>
            <w:shd w:val="clear" w:color="000000" w:fill="BFBFBF"/>
            <w:vAlign w:val="center"/>
            <w:hideMark/>
          </w:tcPr>
          <w:p w14:paraId="2686821F" w14:textId="77777777" w:rsidR="00237963" w:rsidRPr="00CE22B4" w:rsidRDefault="00FF070F" w:rsidP="00883382">
            <w:pPr>
              <w:jc w:val="center"/>
              <w:rPr>
                <w:rFonts w:cs="Arial"/>
                <w:b/>
                <w:bCs/>
                <w:color w:val="000000"/>
                <w:szCs w:val="22"/>
              </w:rPr>
            </w:pPr>
            <w:r w:rsidRPr="00CE22B4">
              <w:rPr>
                <w:rFonts w:cs="Arial"/>
                <w:b/>
                <w:bCs/>
                <w:color w:val="000000"/>
                <w:szCs w:val="22"/>
              </w:rPr>
              <w:t>Revised November 2019</w:t>
            </w:r>
          </w:p>
        </w:tc>
        <w:tc>
          <w:tcPr>
            <w:tcW w:w="1080" w:type="dxa"/>
            <w:tcBorders>
              <w:top w:val="nil"/>
              <w:left w:val="single" w:sz="4" w:space="0" w:color="auto"/>
              <w:bottom w:val="single" w:sz="4" w:space="0" w:color="auto"/>
              <w:right w:val="single" w:sz="4" w:space="0" w:color="auto"/>
            </w:tcBorders>
            <w:shd w:val="clear" w:color="000000" w:fill="BFBFBF"/>
            <w:vAlign w:val="center"/>
            <w:hideMark/>
          </w:tcPr>
          <w:p w14:paraId="26868220" w14:textId="77777777" w:rsidR="00237963" w:rsidRPr="00CE22B4" w:rsidRDefault="00FF070F" w:rsidP="00883382">
            <w:pPr>
              <w:jc w:val="center"/>
              <w:rPr>
                <w:rFonts w:cs="Arial"/>
                <w:b/>
                <w:bCs/>
                <w:color w:val="000000"/>
                <w:szCs w:val="22"/>
              </w:rPr>
            </w:pPr>
            <w:r w:rsidRPr="00CE22B4">
              <w:rPr>
                <w:rFonts w:cs="Arial"/>
                <w:b/>
                <w:bCs/>
                <w:color w:val="000000"/>
                <w:szCs w:val="22"/>
              </w:rPr>
              <w:t>Revised August 2019</w:t>
            </w:r>
          </w:p>
        </w:tc>
        <w:tc>
          <w:tcPr>
            <w:tcW w:w="1158" w:type="dxa"/>
            <w:tcBorders>
              <w:top w:val="nil"/>
              <w:left w:val="nil"/>
              <w:bottom w:val="single" w:sz="4" w:space="0" w:color="auto"/>
              <w:right w:val="single" w:sz="4" w:space="0" w:color="auto"/>
            </w:tcBorders>
            <w:shd w:val="clear" w:color="000000" w:fill="BFBFBF"/>
            <w:vAlign w:val="center"/>
            <w:hideMark/>
          </w:tcPr>
          <w:p w14:paraId="26868221" w14:textId="77777777" w:rsidR="00237963" w:rsidRPr="00CE22B4" w:rsidRDefault="00FF070F" w:rsidP="00883382">
            <w:pPr>
              <w:jc w:val="center"/>
              <w:rPr>
                <w:rFonts w:cs="Arial"/>
                <w:b/>
                <w:bCs/>
                <w:color w:val="000000"/>
                <w:szCs w:val="22"/>
              </w:rPr>
            </w:pPr>
            <w:r w:rsidRPr="00CE22B4">
              <w:rPr>
                <w:rFonts w:cs="Arial"/>
                <w:b/>
                <w:bCs/>
                <w:color w:val="000000"/>
                <w:szCs w:val="22"/>
              </w:rPr>
              <w:t>Original February 2019</w:t>
            </w:r>
          </w:p>
        </w:tc>
      </w:tr>
      <w:tr w:rsidR="00F1118B" w14:paraId="26868227"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23" w14:textId="77777777" w:rsidR="00237963" w:rsidRPr="00CE22B4" w:rsidRDefault="00FF070F" w:rsidP="00883382">
            <w:pPr>
              <w:rPr>
                <w:rFonts w:cs="Arial"/>
                <w:color w:val="000000"/>
                <w:szCs w:val="22"/>
              </w:rPr>
            </w:pPr>
            <w:r w:rsidRPr="00CE22B4">
              <w:rPr>
                <w:rFonts w:cs="Arial"/>
                <w:color w:val="000000"/>
                <w:szCs w:val="22"/>
              </w:rPr>
              <w:t> </w:t>
            </w:r>
          </w:p>
        </w:tc>
        <w:tc>
          <w:tcPr>
            <w:tcW w:w="1292" w:type="dxa"/>
            <w:tcBorders>
              <w:top w:val="nil"/>
              <w:left w:val="nil"/>
              <w:bottom w:val="nil"/>
              <w:right w:val="single" w:sz="4" w:space="0" w:color="auto"/>
            </w:tcBorders>
            <w:shd w:val="clear" w:color="auto" w:fill="auto"/>
            <w:noWrap/>
            <w:vAlign w:val="center"/>
            <w:hideMark/>
          </w:tcPr>
          <w:p w14:paraId="26868224" w14:textId="77777777" w:rsidR="00237963" w:rsidRPr="00CE22B4" w:rsidRDefault="00FF070F" w:rsidP="00883382">
            <w:pPr>
              <w:rPr>
                <w:rFonts w:cs="Arial"/>
                <w:color w:val="000000"/>
                <w:szCs w:val="22"/>
              </w:rPr>
            </w:pPr>
            <w:r w:rsidRPr="00CE22B4">
              <w:rPr>
                <w:rFonts w:cs="Arial"/>
                <w:color w:val="000000"/>
                <w:szCs w:val="22"/>
              </w:rPr>
              <w:t> </w:t>
            </w:r>
          </w:p>
        </w:tc>
        <w:tc>
          <w:tcPr>
            <w:tcW w:w="1080" w:type="dxa"/>
            <w:tcBorders>
              <w:top w:val="nil"/>
              <w:left w:val="nil"/>
              <w:bottom w:val="nil"/>
              <w:right w:val="single" w:sz="4" w:space="0" w:color="auto"/>
            </w:tcBorders>
            <w:shd w:val="clear" w:color="auto" w:fill="auto"/>
            <w:noWrap/>
            <w:vAlign w:val="center"/>
            <w:hideMark/>
          </w:tcPr>
          <w:p w14:paraId="26868225" w14:textId="77777777" w:rsidR="00237963" w:rsidRPr="00CE22B4" w:rsidRDefault="00FF070F" w:rsidP="00883382">
            <w:pPr>
              <w:rPr>
                <w:rFonts w:cs="Arial"/>
                <w:color w:val="000000"/>
                <w:szCs w:val="22"/>
              </w:rPr>
            </w:pPr>
            <w:r w:rsidRPr="00CE22B4">
              <w:rPr>
                <w:rFonts w:cs="Arial"/>
                <w:color w:val="000000"/>
                <w:szCs w:val="22"/>
              </w:rPr>
              <w:t> </w:t>
            </w:r>
          </w:p>
        </w:tc>
        <w:tc>
          <w:tcPr>
            <w:tcW w:w="1158" w:type="dxa"/>
            <w:tcBorders>
              <w:top w:val="nil"/>
              <w:left w:val="nil"/>
              <w:bottom w:val="nil"/>
              <w:right w:val="single" w:sz="4" w:space="0" w:color="auto"/>
            </w:tcBorders>
            <w:shd w:val="clear" w:color="auto" w:fill="auto"/>
            <w:noWrap/>
            <w:vAlign w:val="center"/>
            <w:hideMark/>
          </w:tcPr>
          <w:p w14:paraId="26868226" w14:textId="77777777" w:rsidR="00237963" w:rsidRPr="00CE22B4" w:rsidRDefault="00FF070F" w:rsidP="00883382">
            <w:pPr>
              <w:rPr>
                <w:rFonts w:cs="Arial"/>
                <w:color w:val="000000"/>
                <w:szCs w:val="22"/>
              </w:rPr>
            </w:pPr>
            <w:r w:rsidRPr="00CE22B4">
              <w:rPr>
                <w:rFonts w:cs="Arial"/>
                <w:color w:val="000000"/>
                <w:szCs w:val="22"/>
              </w:rPr>
              <w:t> </w:t>
            </w:r>
          </w:p>
        </w:tc>
      </w:tr>
      <w:tr w:rsidR="00F1118B" w14:paraId="2686822C"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28" w14:textId="77777777" w:rsidR="00237963" w:rsidRPr="00CE22B4" w:rsidRDefault="00FF070F" w:rsidP="00883382">
            <w:pPr>
              <w:rPr>
                <w:rFonts w:cs="Arial"/>
                <w:color w:val="000000"/>
                <w:szCs w:val="22"/>
              </w:rPr>
            </w:pPr>
            <w:r w:rsidRPr="00CE22B4">
              <w:rPr>
                <w:rFonts w:cs="Arial"/>
                <w:color w:val="000000"/>
                <w:szCs w:val="22"/>
              </w:rPr>
              <w:t>2019/20</w:t>
            </w:r>
          </w:p>
        </w:tc>
        <w:tc>
          <w:tcPr>
            <w:tcW w:w="1292" w:type="dxa"/>
            <w:tcBorders>
              <w:top w:val="nil"/>
              <w:left w:val="nil"/>
              <w:bottom w:val="nil"/>
              <w:right w:val="single" w:sz="4" w:space="0" w:color="auto"/>
            </w:tcBorders>
            <w:shd w:val="clear" w:color="auto" w:fill="auto"/>
            <w:noWrap/>
            <w:vAlign w:val="center"/>
            <w:hideMark/>
          </w:tcPr>
          <w:p w14:paraId="26868229" w14:textId="77777777" w:rsidR="00237963" w:rsidRPr="00CE22B4" w:rsidRDefault="00FF070F" w:rsidP="00883382">
            <w:pPr>
              <w:jc w:val="right"/>
              <w:rPr>
                <w:rFonts w:cs="Arial"/>
                <w:color w:val="000000"/>
                <w:szCs w:val="22"/>
              </w:rPr>
            </w:pPr>
            <w:r w:rsidRPr="00CE22B4">
              <w:rPr>
                <w:rFonts w:cs="Arial"/>
                <w:color w:val="000000"/>
                <w:szCs w:val="22"/>
              </w:rPr>
              <w:t>0.75%</w:t>
            </w:r>
          </w:p>
        </w:tc>
        <w:tc>
          <w:tcPr>
            <w:tcW w:w="1080" w:type="dxa"/>
            <w:tcBorders>
              <w:top w:val="nil"/>
              <w:left w:val="nil"/>
              <w:bottom w:val="nil"/>
              <w:right w:val="single" w:sz="4" w:space="0" w:color="auto"/>
            </w:tcBorders>
            <w:shd w:val="clear" w:color="auto" w:fill="auto"/>
            <w:noWrap/>
            <w:vAlign w:val="center"/>
            <w:hideMark/>
          </w:tcPr>
          <w:p w14:paraId="2686822A" w14:textId="77777777" w:rsidR="00237963" w:rsidRPr="00CE22B4" w:rsidRDefault="00FF070F" w:rsidP="00883382">
            <w:pPr>
              <w:jc w:val="right"/>
              <w:rPr>
                <w:rFonts w:cs="Arial"/>
                <w:color w:val="000000"/>
                <w:szCs w:val="22"/>
              </w:rPr>
            </w:pPr>
            <w:r w:rsidRPr="00CE22B4">
              <w:rPr>
                <w:rFonts w:cs="Arial"/>
                <w:color w:val="000000"/>
                <w:szCs w:val="22"/>
              </w:rPr>
              <w:t>0.75%</w:t>
            </w:r>
          </w:p>
        </w:tc>
        <w:tc>
          <w:tcPr>
            <w:tcW w:w="1158" w:type="dxa"/>
            <w:tcBorders>
              <w:top w:val="nil"/>
              <w:left w:val="nil"/>
              <w:bottom w:val="nil"/>
              <w:right w:val="single" w:sz="4" w:space="0" w:color="auto"/>
            </w:tcBorders>
            <w:shd w:val="clear" w:color="auto" w:fill="auto"/>
            <w:noWrap/>
            <w:vAlign w:val="center"/>
            <w:hideMark/>
          </w:tcPr>
          <w:p w14:paraId="2686822B" w14:textId="77777777" w:rsidR="00237963" w:rsidRPr="00CE22B4" w:rsidRDefault="00FF070F" w:rsidP="00883382">
            <w:pPr>
              <w:jc w:val="right"/>
              <w:rPr>
                <w:rFonts w:cs="Arial"/>
                <w:color w:val="000000"/>
                <w:szCs w:val="22"/>
              </w:rPr>
            </w:pPr>
            <w:r w:rsidRPr="00CE22B4">
              <w:rPr>
                <w:rFonts w:cs="Arial"/>
                <w:color w:val="000000"/>
                <w:szCs w:val="22"/>
              </w:rPr>
              <w:t>1.00%</w:t>
            </w:r>
          </w:p>
        </w:tc>
      </w:tr>
      <w:tr w:rsidR="00F1118B" w14:paraId="26868231"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2D" w14:textId="77777777" w:rsidR="00237963" w:rsidRPr="00CE22B4" w:rsidRDefault="00FF070F" w:rsidP="00883382">
            <w:pPr>
              <w:rPr>
                <w:rFonts w:cs="Arial"/>
                <w:color w:val="000000"/>
                <w:szCs w:val="22"/>
              </w:rPr>
            </w:pPr>
            <w:r w:rsidRPr="00CE22B4">
              <w:rPr>
                <w:rFonts w:cs="Arial"/>
                <w:color w:val="000000"/>
                <w:szCs w:val="22"/>
              </w:rPr>
              <w:t>2020/21</w:t>
            </w:r>
          </w:p>
        </w:tc>
        <w:tc>
          <w:tcPr>
            <w:tcW w:w="1292" w:type="dxa"/>
            <w:tcBorders>
              <w:top w:val="nil"/>
              <w:left w:val="nil"/>
              <w:bottom w:val="nil"/>
              <w:right w:val="single" w:sz="4" w:space="0" w:color="auto"/>
            </w:tcBorders>
            <w:shd w:val="clear" w:color="auto" w:fill="auto"/>
            <w:noWrap/>
            <w:vAlign w:val="center"/>
            <w:hideMark/>
          </w:tcPr>
          <w:p w14:paraId="2686822E" w14:textId="77777777" w:rsidR="00237963" w:rsidRPr="00CE22B4" w:rsidRDefault="00FF070F" w:rsidP="00883382">
            <w:pPr>
              <w:jc w:val="right"/>
              <w:rPr>
                <w:rFonts w:cs="Arial"/>
                <w:color w:val="000000"/>
                <w:szCs w:val="22"/>
              </w:rPr>
            </w:pPr>
            <w:r w:rsidRPr="00CE22B4">
              <w:rPr>
                <w:rFonts w:cs="Arial"/>
                <w:color w:val="000000"/>
                <w:szCs w:val="22"/>
              </w:rPr>
              <w:t>1.00%</w:t>
            </w:r>
          </w:p>
        </w:tc>
        <w:tc>
          <w:tcPr>
            <w:tcW w:w="1080" w:type="dxa"/>
            <w:tcBorders>
              <w:top w:val="nil"/>
              <w:left w:val="nil"/>
              <w:bottom w:val="nil"/>
              <w:right w:val="single" w:sz="4" w:space="0" w:color="auto"/>
            </w:tcBorders>
            <w:shd w:val="clear" w:color="auto" w:fill="auto"/>
            <w:noWrap/>
            <w:vAlign w:val="center"/>
            <w:hideMark/>
          </w:tcPr>
          <w:p w14:paraId="2686822F" w14:textId="77777777" w:rsidR="00237963" w:rsidRPr="00CE22B4" w:rsidRDefault="00FF070F" w:rsidP="00883382">
            <w:pPr>
              <w:jc w:val="right"/>
              <w:rPr>
                <w:rFonts w:cs="Arial"/>
                <w:color w:val="000000"/>
                <w:szCs w:val="22"/>
              </w:rPr>
            </w:pPr>
            <w:r w:rsidRPr="00CE22B4">
              <w:rPr>
                <w:rFonts w:cs="Arial"/>
                <w:color w:val="000000"/>
                <w:szCs w:val="22"/>
              </w:rPr>
              <w:t>1.00%</w:t>
            </w:r>
          </w:p>
        </w:tc>
        <w:tc>
          <w:tcPr>
            <w:tcW w:w="1158" w:type="dxa"/>
            <w:tcBorders>
              <w:top w:val="nil"/>
              <w:left w:val="nil"/>
              <w:bottom w:val="nil"/>
              <w:right w:val="single" w:sz="4" w:space="0" w:color="auto"/>
            </w:tcBorders>
            <w:shd w:val="clear" w:color="auto" w:fill="auto"/>
            <w:noWrap/>
            <w:vAlign w:val="center"/>
            <w:hideMark/>
          </w:tcPr>
          <w:p w14:paraId="26868230" w14:textId="77777777" w:rsidR="00237963" w:rsidRPr="00CE22B4" w:rsidRDefault="00FF070F" w:rsidP="00883382">
            <w:pPr>
              <w:jc w:val="right"/>
              <w:rPr>
                <w:rFonts w:cs="Arial"/>
                <w:color w:val="000000"/>
                <w:szCs w:val="22"/>
              </w:rPr>
            </w:pPr>
            <w:r w:rsidRPr="00CE22B4">
              <w:rPr>
                <w:rFonts w:cs="Arial"/>
                <w:color w:val="000000"/>
                <w:szCs w:val="22"/>
              </w:rPr>
              <w:t>1.25%</w:t>
            </w:r>
          </w:p>
        </w:tc>
      </w:tr>
      <w:tr w:rsidR="00F1118B" w14:paraId="26868236"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32" w14:textId="77777777" w:rsidR="00237963" w:rsidRPr="00CE22B4" w:rsidRDefault="00FF070F" w:rsidP="00883382">
            <w:pPr>
              <w:rPr>
                <w:rFonts w:cs="Arial"/>
                <w:color w:val="000000"/>
                <w:szCs w:val="22"/>
              </w:rPr>
            </w:pPr>
            <w:r w:rsidRPr="00CE22B4">
              <w:rPr>
                <w:rFonts w:cs="Arial"/>
                <w:color w:val="000000"/>
                <w:szCs w:val="22"/>
              </w:rPr>
              <w:t>2021/22</w:t>
            </w:r>
          </w:p>
        </w:tc>
        <w:tc>
          <w:tcPr>
            <w:tcW w:w="1292" w:type="dxa"/>
            <w:tcBorders>
              <w:top w:val="nil"/>
              <w:left w:val="nil"/>
              <w:bottom w:val="nil"/>
              <w:right w:val="single" w:sz="4" w:space="0" w:color="auto"/>
            </w:tcBorders>
            <w:shd w:val="clear" w:color="auto" w:fill="auto"/>
            <w:noWrap/>
            <w:vAlign w:val="center"/>
            <w:hideMark/>
          </w:tcPr>
          <w:p w14:paraId="26868233" w14:textId="77777777" w:rsidR="00237963" w:rsidRPr="00CE22B4" w:rsidRDefault="00FF070F" w:rsidP="00883382">
            <w:pPr>
              <w:jc w:val="right"/>
              <w:rPr>
                <w:rFonts w:cs="Arial"/>
                <w:color w:val="000000"/>
                <w:szCs w:val="22"/>
              </w:rPr>
            </w:pPr>
            <w:r w:rsidRPr="00CE22B4">
              <w:rPr>
                <w:rFonts w:cs="Arial"/>
                <w:color w:val="000000"/>
                <w:szCs w:val="22"/>
              </w:rPr>
              <w:t>1.00%</w:t>
            </w:r>
          </w:p>
        </w:tc>
        <w:tc>
          <w:tcPr>
            <w:tcW w:w="1080" w:type="dxa"/>
            <w:tcBorders>
              <w:top w:val="nil"/>
              <w:left w:val="nil"/>
              <w:bottom w:val="nil"/>
              <w:right w:val="single" w:sz="4" w:space="0" w:color="auto"/>
            </w:tcBorders>
            <w:shd w:val="clear" w:color="auto" w:fill="auto"/>
            <w:noWrap/>
            <w:vAlign w:val="center"/>
            <w:hideMark/>
          </w:tcPr>
          <w:p w14:paraId="26868234" w14:textId="77777777" w:rsidR="00237963" w:rsidRPr="00CE22B4" w:rsidRDefault="00FF070F" w:rsidP="00883382">
            <w:pPr>
              <w:jc w:val="right"/>
              <w:rPr>
                <w:rFonts w:cs="Arial"/>
                <w:color w:val="000000"/>
                <w:szCs w:val="22"/>
              </w:rPr>
            </w:pPr>
            <w:r w:rsidRPr="00CE22B4">
              <w:rPr>
                <w:rFonts w:cs="Arial"/>
                <w:color w:val="000000"/>
                <w:szCs w:val="22"/>
              </w:rPr>
              <w:t>1.00%</w:t>
            </w:r>
          </w:p>
        </w:tc>
        <w:tc>
          <w:tcPr>
            <w:tcW w:w="1158" w:type="dxa"/>
            <w:tcBorders>
              <w:top w:val="nil"/>
              <w:left w:val="nil"/>
              <w:bottom w:val="nil"/>
              <w:right w:val="single" w:sz="4" w:space="0" w:color="auto"/>
            </w:tcBorders>
            <w:shd w:val="clear" w:color="auto" w:fill="auto"/>
            <w:noWrap/>
            <w:vAlign w:val="center"/>
            <w:hideMark/>
          </w:tcPr>
          <w:p w14:paraId="26868235" w14:textId="77777777" w:rsidR="00237963" w:rsidRPr="00CE22B4" w:rsidRDefault="00FF070F" w:rsidP="00883382">
            <w:pPr>
              <w:jc w:val="right"/>
              <w:rPr>
                <w:rFonts w:cs="Arial"/>
                <w:color w:val="000000"/>
                <w:szCs w:val="22"/>
              </w:rPr>
            </w:pPr>
            <w:r w:rsidRPr="00CE22B4">
              <w:rPr>
                <w:rFonts w:cs="Arial"/>
                <w:color w:val="000000"/>
                <w:szCs w:val="22"/>
              </w:rPr>
              <w:t>1.75%</w:t>
            </w:r>
          </w:p>
        </w:tc>
      </w:tr>
      <w:tr w:rsidR="00F1118B" w14:paraId="2686823B"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37" w14:textId="77777777" w:rsidR="00237963" w:rsidRPr="00CE22B4" w:rsidRDefault="00FF070F" w:rsidP="00883382">
            <w:pPr>
              <w:rPr>
                <w:rFonts w:cs="Arial"/>
                <w:color w:val="000000"/>
                <w:szCs w:val="22"/>
              </w:rPr>
            </w:pPr>
            <w:r w:rsidRPr="00CE22B4">
              <w:rPr>
                <w:rFonts w:cs="Arial"/>
                <w:color w:val="000000"/>
                <w:szCs w:val="22"/>
              </w:rPr>
              <w:t>2022/23</w:t>
            </w:r>
          </w:p>
        </w:tc>
        <w:tc>
          <w:tcPr>
            <w:tcW w:w="1292" w:type="dxa"/>
            <w:tcBorders>
              <w:top w:val="nil"/>
              <w:left w:val="nil"/>
              <w:bottom w:val="nil"/>
              <w:right w:val="single" w:sz="4" w:space="0" w:color="auto"/>
            </w:tcBorders>
            <w:shd w:val="clear" w:color="auto" w:fill="auto"/>
            <w:noWrap/>
            <w:vAlign w:val="center"/>
            <w:hideMark/>
          </w:tcPr>
          <w:p w14:paraId="26868238" w14:textId="77777777" w:rsidR="00237963" w:rsidRPr="00CE22B4" w:rsidRDefault="00FF070F" w:rsidP="00883382">
            <w:pPr>
              <w:jc w:val="right"/>
              <w:rPr>
                <w:rFonts w:cs="Arial"/>
                <w:color w:val="000000"/>
                <w:szCs w:val="22"/>
              </w:rPr>
            </w:pPr>
            <w:r w:rsidRPr="00CE22B4">
              <w:rPr>
                <w:rFonts w:cs="Arial"/>
                <w:color w:val="000000"/>
                <w:szCs w:val="22"/>
              </w:rPr>
              <w:t>1.50%</w:t>
            </w:r>
          </w:p>
        </w:tc>
        <w:tc>
          <w:tcPr>
            <w:tcW w:w="1080" w:type="dxa"/>
            <w:tcBorders>
              <w:top w:val="nil"/>
              <w:left w:val="nil"/>
              <w:bottom w:val="nil"/>
              <w:right w:val="single" w:sz="4" w:space="0" w:color="auto"/>
            </w:tcBorders>
            <w:shd w:val="clear" w:color="auto" w:fill="auto"/>
            <w:noWrap/>
            <w:vAlign w:val="center"/>
            <w:hideMark/>
          </w:tcPr>
          <w:p w14:paraId="26868239" w14:textId="77777777" w:rsidR="00237963" w:rsidRPr="00CE22B4" w:rsidRDefault="00FF070F" w:rsidP="00883382">
            <w:pPr>
              <w:jc w:val="right"/>
              <w:rPr>
                <w:rFonts w:cs="Arial"/>
                <w:color w:val="000000"/>
                <w:szCs w:val="22"/>
              </w:rPr>
            </w:pPr>
            <w:r w:rsidRPr="00CE22B4">
              <w:rPr>
                <w:rFonts w:cs="Arial"/>
                <w:color w:val="000000"/>
                <w:szCs w:val="22"/>
              </w:rPr>
              <w:t>1.50%</w:t>
            </w:r>
          </w:p>
        </w:tc>
        <w:tc>
          <w:tcPr>
            <w:tcW w:w="1158" w:type="dxa"/>
            <w:tcBorders>
              <w:top w:val="nil"/>
              <w:left w:val="nil"/>
              <w:bottom w:val="nil"/>
              <w:right w:val="single" w:sz="4" w:space="0" w:color="auto"/>
            </w:tcBorders>
            <w:shd w:val="clear" w:color="auto" w:fill="auto"/>
            <w:noWrap/>
            <w:vAlign w:val="center"/>
            <w:hideMark/>
          </w:tcPr>
          <w:p w14:paraId="2686823A" w14:textId="77777777" w:rsidR="00237963" w:rsidRPr="00CE22B4" w:rsidRDefault="00FF070F" w:rsidP="00883382">
            <w:pPr>
              <w:jc w:val="right"/>
              <w:rPr>
                <w:rFonts w:cs="Arial"/>
                <w:color w:val="000000"/>
                <w:szCs w:val="22"/>
              </w:rPr>
            </w:pPr>
            <w:r w:rsidRPr="00CE22B4">
              <w:rPr>
                <w:rFonts w:cs="Arial"/>
                <w:color w:val="000000"/>
                <w:szCs w:val="22"/>
              </w:rPr>
              <w:t>2.00%</w:t>
            </w:r>
          </w:p>
        </w:tc>
      </w:tr>
      <w:tr w:rsidR="00F1118B" w14:paraId="26868240"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3C" w14:textId="77777777" w:rsidR="00237963" w:rsidRPr="00CE22B4" w:rsidRDefault="00FF070F" w:rsidP="00883382">
            <w:pPr>
              <w:rPr>
                <w:rFonts w:cs="Arial"/>
                <w:color w:val="000000"/>
                <w:szCs w:val="22"/>
              </w:rPr>
            </w:pPr>
            <w:r w:rsidRPr="00CE22B4">
              <w:rPr>
                <w:rFonts w:cs="Arial"/>
                <w:color w:val="000000"/>
                <w:szCs w:val="22"/>
              </w:rPr>
              <w:t>2023/24</w:t>
            </w:r>
          </w:p>
        </w:tc>
        <w:tc>
          <w:tcPr>
            <w:tcW w:w="1292" w:type="dxa"/>
            <w:tcBorders>
              <w:top w:val="nil"/>
              <w:left w:val="nil"/>
              <w:bottom w:val="nil"/>
              <w:right w:val="single" w:sz="4" w:space="0" w:color="auto"/>
            </w:tcBorders>
            <w:shd w:val="clear" w:color="auto" w:fill="auto"/>
            <w:noWrap/>
            <w:vAlign w:val="center"/>
            <w:hideMark/>
          </w:tcPr>
          <w:p w14:paraId="2686823D" w14:textId="77777777" w:rsidR="00237963" w:rsidRPr="00CE22B4" w:rsidRDefault="00FF070F" w:rsidP="00883382">
            <w:pPr>
              <w:jc w:val="right"/>
              <w:rPr>
                <w:rFonts w:cs="Arial"/>
                <w:color w:val="000000"/>
                <w:szCs w:val="22"/>
              </w:rPr>
            </w:pPr>
            <w:r w:rsidRPr="00CE22B4">
              <w:rPr>
                <w:rFonts w:cs="Arial"/>
                <w:color w:val="000000"/>
                <w:szCs w:val="22"/>
              </w:rPr>
              <w:t>1.50%</w:t>
            </w:r>
          </w:p>
        </w:tc>
        <w:tc>
          <w:tcPr>
            <w:tcW w:w="1080" w:type="dxa"/>
            <w:tcBorders>
              <w:top w:val="nil"/>
              <w:left w:val="nil"/>
              <w:bottom w:val="nil"/>
              <w:right w:val="single" w:sz="4" w:space="0" w:color="auto"/>
            </w:tcBorders>
            <w:shd w:val="clear" w:color="auto" w:fill="auto"/>
            <w:noWrap/>
            <w:vAlign w:val="center"/>
            <w:hideMark/>
          </w:tcPr>
          <w:p w14:paraId="2686823E" w14:textId="77777777" w:rsidR="00237963" w:rsidRPr="00CE22B4" w:rsidRDefault="00FF070F" w:rsidP="00883382">
            <w:pPr>
              <w:jc w:val="right"/>
              <w:rPr>
                <w:rFonts w:cs="Arial"/>
                <w:color w:val="000000"/>
                <w:szCs w:val="22"/>
              </w:rPr>
            </w:pPr>
            <w:r w:rsidRPr="00CE22B4">
              <w:rPr>
                <w:rFonts w:cs="Arial"/>
                <w:color w:val="000000"/>
                <w:szCs w:val="22"/>
              </w:rPr>
              <w:t>1.50%</w:t>
            </w:r>
          </w:p>
        </w:tc>
        <w:tc>
          <w:tcPr>
            <w:tcW w:w="1158" w:type="dxa"/>
            <w:tcBorders>
              <w:top w:val="nil"/>
              <w:left w:val="nil"/>
              <w:bottom w:val="nil"/>
              <w:right w:val="single" w:sz="4" w:space="0" w:color="auto"/>
            </w:tcBorders>
            <w:shd w:val="clear" w:color="auto" w:fill="auto"/>
            <w:noWrap/>
            <w:vAlign w:val="center"/>
            <w:hideMark/>
          </w:tcPr>
          <w:p w14:paraId="2686823F" w14:textId="77777777" w:rsidR="00237963" w:rsidRPr="00CE22B4" w:rsidRDefault="00FF070F" w:rsidP="00883382">
            <w:pPr>
              <w:jc w:val="right"/>
              <w:rPr>
                <w:rFonts w:cs="Arial"/>
                <w:color w:val="000000"/>
                <w:szCs w:val="22"/>
              </w:rPr>
            </w:pPr>
            <w:r w:rsidRPr="00CE22B4">
              <w:rPr>
                <w:rFonts w:cs="Arial"/>
                <w:color w:val="000000"/>
                <w:szCs w:val="22"/>
              </w:rPr>
              <w:t>2.25%</w:t>
            </w:r>
          </w:p>
        </w:tc>
      </w:tr>
      <w:tr w:rsidR="00F1118B" w14:paraId="26868245"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41" w14:textId="77777777" w:rsidR="00237963" w:rsidRPr="00CE22B4" w:rsidRDefault="00FF070F" w:rsidP="00883382">
            <w:pPr>
              <w:rPr>
                <w:rFonts w:cs="Arial"/>
                <w:color w:val="000000"/>
                <w:szCs w:val="22"/>
              </w:rPr>
            </w:pPr>
            <w:r w:rsidRPr="00CE22B4">
              <w:rPr>
                <w:rFonts w:cs="Arial"/>
                <w:color w:val="000000"/>
                <w:szCs w:val="22"/>
              </w:rPr>
              <w:t>2024/25</w:t>
            </w:r>
          </w:p>
        </w:tc>
        <w:tc>
          <w:tcPr>
            <w:tcW w:w="1292" w:type="dxa"/>
            <w:tcBorders>
              <w:top w:val="nil"/>
              <w:left w:val="nil"/>
              <w:bottom w:val="nil"/>
              <w:right w:val="single" w:sz="4" w:space="0" w:color="auto"/>
            </w:tcBorders>
            <w:shd w:val="clear" w:color="auto" w:fill="auto"/>
            <w:noWrap/>
            <w:vAlign w:val="center"/>
            <w:hideMark/>
          </w:tcPr>
          <w:p w14:paraId="26868242" w14:textId="77777777" w:rsidR="00237963" w:rsidRPr="00CE22B4" w:rsidRDefault="00FF070F" w:rsidP="00883382">
            <w:pPr>
              <w:jc w:val="right"/>
              <w:rPr>
                <w:rFonts w:cs="Arial"/>
                <w:color w:val="000000"/>
                <w:szCs w:val="22"/>
              </w:rPr>
            </w:pPr>
            <w:r w:rsidRPr="00CE22B4">
              <w:rPr>
                <w:rFonts w:cs="Arial"/>
                <w:color w:val="000000"/>
                <w:szCs w:val="22"/>
              </w:rPr>
              <w:t>1.75%</w:t>
            </w:r>
          </w:p>
        </w:tc>
        <w:tc>
          <w:tcPr>
            <w:tcW w:w="1080" w:type="dxa"/>
            <w:tcBorders>
              <w:top w:val="nil"/>
              <w:left w:val="nil"/>
              <w:bottom w:val="nil"/>
              <w:right w:val="single" w:sz="4" w:space="0" w:color="auto"/>
            </w:tcBorders>
            <w:shd w:val="clear" w:color="auto" w:fill="auto"/>
            <w:noWrap/>
            <w:vAlign w:val="center"/>
            <w:hideMark/>
          </w:tcPr>
          <w:p w14:paraId="26868243" w14:textId="77777777" w:rsidR="00237963" w:rsidRPr="00CE22B4" w:rsidRDefault="00FF070F" w:rsidP="00883382">
            <w:pPr>
              <w:jc w:val="right"/>
              <w:rPr>
                <w:rFonts w:cs="Arial"/>
                <w:color w:val="000000"/>
                <w:szCs w:val="22"/>
              </w:rPr>
            </w:pPr>
            <w:r w:rsidRPr="00CE22B4">
              <w:rPr>
                <w:rFonts w:cs="Arial"/>
                <w:color w:val="000000"/>
                <w:szCs w:val="22"/>
              </w:rPr>
              <w:t>1.75%</w:t>
            </w:r>
          </w:p>
        </w:tc>
        <w:tc>
          <w:tcPr>
            <w:tcW w:w="1158" w:type="dxa"/>
            <w:tcBorders>
              <w:top w:val="nil"/>
              <w:left w:val="nil"/>
              <w:bottom w:val="nil"/>
              <w:right w:val="single" w:sz="4" w:space="0" w:color="auto"/>
            </w:tcBorders>
            <w:shd w:val="clear" w:color="auto" w:fill="auto"/>
            <w:noWrap/>
            <w:vAlign w:val="center"/>
            <w:hideMark/>
          </w:tcPr>
          <w:p w14:paraId="26868244" w14:textId="77777777" w:rsidR="00237963" w:rsidRPr="00CE22B4" w:rsidRDefault="00FF070F" w:rsidP="00883382">
            <w:pPr>
              <w:jc w:val="right"/>
              <w:rPr>
                <w:rFonts w:cs="Arial"/>
                <w:color w:val="000000"/>
                <w:szCs w:val="22"/>
              </w:rPr>
            </w:pPr>
            <w:r w:rsidRPr="00CE22B4">
              <w:rPr>
                <w:rFonts w:cs="Arial"/>
                <w:color w:val="000000"/>
                <w:szCs w:val="22"/>
              </w:rPr>
              <w:t>2.50%</w:t>
            </w:r>
          </w:p>
        </w:tc>
      </w:tr>
      <w:tr w:rsidR="00F1118B" w14:paraId="2686824A" w14:textId="77777777" w:rsidTr="00883382">
        <w:trPr>
          <w:trHeight w:val="285"/>
        </w:trPr>
        <w:tc>
          <w:tcPr>
            <w:tcW w:w="1400" w:type="dxa"/>
            <w:tcBorders>
              <w:top w:val="nil"/>
              <w:left w:val="single" w:sz="4" w:space="0" w:color="auto"/>
              <w:bottom w:val="nil"/>
              <w:right w:val="single" w:sz="4" w:space="0" w:color="auto"/>
            </w:tcBorders>
            <w:shd w:val="clear" w:color="auto" w:fill="auto"/>
            <w:noWrap/>
            <w:vAlign w:val="center"/>
            <w:hideMark/>
          </w:tcPr>
          <w:p w14:paraId="26868246" w14:textId="77777777" w:rsidR="00237963" w:rsidRPr="00CE22B4" w:rsidRDefault="00FF070F" w:rsidP="00883382">
            <w:pPr>
              <w:rPr>
                <w:rFonts w:cs="Arial"/>
                <w:color w:val="000000"/>
                <w:szCs w:val="22"/>
              </w:rPr>
            </w:pPr>
            <w:r w:rsidRPr="00CE22B4">
              <w:rPr>
                <w:rFonts w:cs="Arial"/>
                <w:color w:val="000000"/>
                <w:szCs w:val="22"/>
              </w:rPr>
              <w:t>Later years</w:t>
            </w:r>
          </w:p>
        </w:tc>
        <w:tc>
          <w:tcPr>
            <w:tcW w:w="1292" w:type="dxa"/>
            <w:tcBorders>
              <w:top w:val="nil"/>
              <w:left w:val="nil"/>
              <w:bottom w:val="nil"/>
              <w:right w:val="single" w:sz="4" w:space="0" w:color="auto"/>
            </w:tcBorders>
            <w:shd w:val="clear" w:color="auto" w:fill="auto"/>
            <w:noWrap/>
            <w:vAlign w:val="center"/>
            <w:hideMark/>
          </w:tcPr>
          <w:p w14:paraId="26868247" w14:textId="77777777" w:rsidR="00237963" w:rsidRPr="00CE22B4" w:rsidRDefault="00FF070F" w:rsidP="00883382">
            <w:pPr>
              <w:jc w:val="right"/>
              <w:rPr>
                <w:rFonts w:cs="Arial"/>
                <w:color w:val="000000"/>
                <w:szCs w:val="22"/>
              </w:rPr>
            </w:pPr>
            <w:r w:rsidRPr="00CE22B4">
              <w:rPr>
                <w:rFonts w:cs="Arial"/>
                <w:color w:val="000000"/>
                <w:szCs w:val="22"/>
              </w:rPr>
              <w:t>2.25%</w:t>
            </w:r>
          </w:p>
        </w:tc>
        <w:tc>
          <w:tcPr>
            <w:tcW w:w="1080" w:type="dxa"/>
            <w:tcBorders>
              <w:top w:val="nil"/>
              <w:left w:val="nil"/>
              <w:bottom w:val="nil"/>
              <w:right w:val="single" w:sz="4" w:space="0" w:color="auto"/>
            </w:tcBorders>
            <w:shd w:val="clear" w:color="auto" w:fill="auto"/>
            <w:noWrap/>
            <w:vAlign w:val="center"/>
            <w:hideMark/>
          </w:tcPr>
          <w:p w14:paraId="26868248" w14:textId="77777777" w:rsidR="00237963" w:rsidRPr="00CE22B4" w:rsidRDefault="00FF070F" w:rsidP="00883382">
            <w:pPr>
              <w:jc w:val="right"/>
              <w:rPr>
                <w:rFonts w:cs="Arial"/>
                <w:color w:val="000000"/>
                <w:szCs w:val="22"/>
              </w:rPr>
            </w:pPr>
            <w:r w:rsidRPr="00CE22B4">
              <w:rPr>
                <w:rFonts w:cs="Arial"/>
                <w:color w:val="000000"/>
                <w:szCs w:val="22"/>
              </w:rPr>
              <w:t>2.25%</w:t>
            </w:r>
          </w:p>
        </w:tc>
        <w:tc>
          <w:tcPr>
            <w:tcW w:w="1158" w:type="dxa"/>
            <w:tcBorders>
              <w:top w:val="nil"/>
              <w:left w:val="nil"/>
              <w:bottom w:val="nil"/>
              <w:right w:val="single" w:sz="4" w:space="0" w:color="auto"/>
            </w:tcBorders>
            <w:shd w:val="clear" w:color="auto" w:fill="auto"/>
            <w:noWrap/>
            <w:vAlign w:val="center"/>
            <w:hideMark/>
          </w:tcPr>
          <w:p w14:paraId="26868249" w14:textId="77777777" w:rsidR="00237963" w:rsidRPr="00CE22B4" w:rsidRDefault="00FF070F" w:rsidP="00883382">
            <w:pPr>
              <w:jc w:val="right"/>
              <w:rPr>
                <w:rFonts w:cs="Arial"/>
                <w:color w:val="000000"/>
                <w:szCs w:val="22"/>
              </w:rPr>
            </w:pPr>
            <w:r w:rsidRPr="00CE22B4">
              <w:rPr>
                <w:rFonts w:cs="Arial"/>
                <w:color w:val="000000"/>
                <w:szCs w:val="22"/>
              </w:rPr>
              <w:t>2.50%</w:t>
            </w:r>
          </w:p>
        </w:tc>
      </w:tr>
      <w:tr w:rsidR="00F1118B" w14:paraId="2686824F" w14:textId="77777777" w:rsidTr="00883382">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686824B" w14:textId="77777777" w:rsidR="00237963" w:rsidRPr="00CE22B4" w:rsidRDefault="00FF070F" w:rsidP="00883382">
            <w:pPr>
              <w:rPr>
                <w:rFonts w:cs="Arial"/>
                <w:color w:val="000000"/>
                <w:szCs w:val="22"/>
              </w:rPr>
            </w:pPr>
            <w:r w:rsidRPr="00CE22B4">
              <w:rPr>
                <w:rFonts w:cs="Arial"/>
                <w:color w:val="000000"/>
                <w:szCs w:val="22"/>
              </w:rPr>
              <w:t> </w:t>
            </w:r>
          </w:p>
        </w:tc>
        <w:tc>
          <w:tcPr>
            <w:tcW w:w="1292" w:type="dxa"/>
            <w:tcBorders>
              <w:top w:val="nil"/>
              <w:left w:val="nil"/>
              <w:bottom w:val="single" w:sz="4" w:space="0" w:color="auto"/>
              <w:right w:val="single" w:sz="4" w:space="0" w:color="auto"/>
            </w:tcBorders>
            <w:shd w:val="clear" w:color="auto" w:fill="auto"/>
            <w:noWrap/>
            <w:vAlign w:val="center"/>
            <w:hideMark/>
          </w:tcPr>
          <w:p w14:paraId="2686824C" w14:textId="77777777" w:rsidR="00237963" w:rsidRPr="00CE22B4" w:rsidRDefault="00FF070F" w:rsidP="00883382">
            <w:pPr>
              <w:rPr>
                <w:rFonts w:cs="Arial"/>
                <w:color w:val="000000"/>
                <w:szCs w:val="22"/>
              </w:rPr>
            </w:pPr>
            <w:r w:rsidRPr="00CE22B4">
              <w:rPr>
                <w:rFonts w:cs="Arial"/>
                <w:color w:val="000000"/>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86824D" w14:textId="77777777" w:rsidR="00237963" w:rsidRPr="00CE22B4" w:rsidRDefault="00FF070F" w:rsidP="00883382">
            <w:pPr>
              <w:rPr>
                <w:rFonts w:cs="Arial"/>
                <w:color w:val="000000"/>
                <w:szCs w:val="22"/>
              </w:rPr>
            </w:pPr>
            <w:r w:rsidRPr="00CE22B4">
              <w:rPr>
                <w:rFonts w:cs="Arial"/>
                <w:color w:val="000000"/>
                <w:szCs w:val="22"/>
              </w:rPr>
              <w:t> </w:t>
            </w:r>
          </w:p>
        </w:tc>
        <w:tc>
          <w:tcPr>
            <w:tcW w:w="1158" w:type="dxa"/>
            <w:tcBorders>
              <w:top w:val="nil"/>
              <w:left w:val="nil"/>
              <w:bottom w:val="single" w:sz="4" w:space="0" w:color="auto"/>
              <w:right w:val="single" w:sz="4" w:space="0" w:color="auto"/>
            </w:tcBorders>
            <w:shd w:val="clear" w:color="auto" w:fill="auto"/>
            <w:noWrap/>
            <w:vAlign w:val="center"/>
            <w:hideMark/>
          </w:tcPr>
          <w:p w14:paraId="2686824E" w14:textId="77777777" w:rsidR="00237963" w:rsidRPr="00CE22B4" w:rsidRDefault="00FF070F" w:rsidP="00883382">
            <w:pPr>
              <w:rPr>
                <w:rFonts w:cs="Arial"/>
                <w:color w:val="000000"/>
                <w:szCs w:val="22"/>
              </w:rPr>
            </w:pPr>
            <w:r w:rsidRPr="00CE22B4">
              <w:rPr>
                <w:rFonts w:cs="Arial"/>
                <w:color w:val="000000"/>
                <w:szCs w:val="22"/>
              </w:rPr>
              <w:t> </w:t>
            </w:r>
          </w:p>
        </w:tc>
      </w:tr>
    </w:tbl>
    <w:p w14:paraId="26868250" w14:textId="77777777" w:rsidR="00237963" w:rsidRDefault="00FE0CBF" w:rsidP="00237963">
      <w:pPr>
        <w:pStyle w:val="ListParagraph"/>
      </w:pPr>
    </w:p>
    <w:p w14:paraId="26868251" w14:textId="77777777" w:rsidR="00237963" w:rsidRDefault="00FF070F" w:rsidP="00237963">
      <w:pPr>
        <w:pStyle w:val="ListParagraph"/>
        <w:numPr>
          <w:ilvl w:val="0"/>
          <w:numId w:val="17"/>
        </w:numPr>
        <w:tabs>
          <w:tab w:val="left" w:pos="567"/>
        </w:tabs>
      </w:pPr>
      <w:r>
        <w:t>The most recent estimate is compared to the estimated earnings rate available at the time the Treasury Management Strategy was presented for approval in February 2019, and Link’s update in August 2019. The suggested earnings rates have fallen from 1.00% to 0.75% in this financial year. This target was exceeded in the first half of 2019/20, with the average to 30 September 2018 being 0.91%. The average is currently expected to remain above the target for the remainder of the financial year.</w:t>
      </w:r>
    </w:p>
    <w:p w14:paraId="26868252" w14:textId="77777777" w:rsidR="00237963" w:rsidRDefault="00FE0CBF" w:rsidP="00237963">
      <w:pPr>
        <w:pStyle w:val="ListParagraph"/>
        <w:tabs>
          <w:tab w:val="left" w:pos="567"/>
        </w:tabs>
      </w:pPr>
    </w:p>
    <w:p w14:paraId="26868253" w14:textId="77777777" w:rsidR="00237963" w:rsidRPr="00F925D0" w:rsidRDefault="00FF070F" w:rsidP="00237963">
      <w:pPr>
        <w:pStyle w:val="ListParagraph"/>
        <w:numPr>
          <w:ilvl w:val="0"/>
          <w:numId w:val="17"/>
        </w:numPr>
        <w:tabs>
          <w:tab w:val="left" w:pos="567"/>
        </w:tabs>
      </w:pPr>
      <w:r>
        <w:t>In the forecast interest rates shown at Appendix E, PWLB borrowing rates are currently significantly higher than was expected when the Treasury Strategy for 2019/20 onwards was prepared. This is because of the increase of 1% in the margin of PWLB rates above gilt yields, as referred to above, although the difference in the forecast is less than the full 1%, because of variations in other underlying factors, principally the ongoing deferral of any rise in base rate. Overall, the forecast indicates a pattern of gradually rising rates, but this remains subject to the usual range of risk factors in respect of inflation, monetary policy decisions and domestic and international economic performance and particularly to the continuing uncertainties around the outcome of the Brexit process.</w:t>
      </w:r>
    </w:p>
    <w:p w14:paraId="26868254" w14:textId="77777777" w:rsidR="00F925D0" w:rsidRPr="00244BF5" w:rsidRDefault="00FE0CBF" w:rsidP="00B71A04">
      <w:pPr>
        <w:tabs>
          <w:tab w:val="left" w:pos="567"/>
        </w:tabs>
        <w:ind w:left="567" w:hanging="567"/>
        <w:rPr>
          <w:szCs w:val="22"/>
        </w:rPr>
      </w:pPr>
    </w:p>
    <w:p w14:paraId="26868255" w14:textId="77777777" w:rsidR="001938D6" w:rsidRPr="00C278CB" w:rsidRDefault="00FF070F" w:rsidP="00B71A04">
      <w:pPr>
        <w:tabs>
          <w:tab w:val="left" w:pos="567"/>
        </w:tabs>
        <w:ind w:left="567" w:hanging="567"/>
        <w:rPr>
          <w:b/>
          <w:szCs w:val="22"/>
        </w:rPr>
      </w:pPr>
      <w:r w:rsidRPr="00C278CB">
        <w:rPr>
          <w:b/>
          <w:szCs w:val="22"/>
        </w:rPr>
        <w:t xml:space="preserve">CONSULTATION CARRIED OUT AND OUTCOME OF CONSULTATION </w:t>
      </w:r>
    </w:p>
    <w:p w14:paraId="26868256" w14:textId="77777777" w:rsidR="001938D6" w:rsidRPr="00C278CB" w:rsidRDefault="00FE0CBF" w:rsidP="00B71A04">
      <w:pPr>
        <w:tabs>
          <w:tab w:val="left" w:pos="567"/>
        </w:tabs>
        <w:ind w:left="567" w:hanging="567"/>
        <w:rPr>
          <w:b/>
          <w:szCs w:val="22"/>
        </w:rPr>
      </w:pPr>
    </w:p>
    <w:p w14:paraId="26868257" w14:textId="77777777" w:rsidR="001938D6" w:rsidRPr="00C278CB" w:rsidRDefault="00FF070F" w:rsidP="00833F9E">
      <w:pPr>
        <w:pStyle w:val="ListParagraph"/>
        <w:numPr>
          <w:ilvl w:val="0"/>
          <w:numId w:val="17"/>
        </w:numPr>
        <w:tabs>
          <w:tab w:val="left" w:pos="567"/>
        </w:tabs>
        <w:rPr>
          <w:rFonts w:cs="Arial"/>
          <w:i/>
        </w:rPr>
      </w:pPr>
      <w:r w:rsidRPr="00C278CB">
        <w:rPr>
          <w:rFonts w:cs="Arial"/>
          <w:i/>
        </w:rPr>
        <w:t xml:space="preserve"> </w:t>
      </w:r>
      <w:r>
        <w:t>No consultation has been undertaken in preparing this report.</w:t>
      </w:r>
    </w:p>
    <w:p w14:paraId="26868258" w14:textId="77777777" w:rsidR="00833F9E" w:rsidRPr="00C278CB" w:rsidRDefault="00FE0CBF" w:rsidP="00833F9E">
      <w:pPr>
        <w:tabs>
          <w:tab w:val="left" w:pos="567"/>
        </w:tabs>
        <w:rPr>
          <w:rFonts w:cs="Arial"/>
          <w:i/>
        </w:rPr>
      </w:pPr>
    </w:p>
    <w:p w14:paraId="26868259" w14:textId="77777777" w:rsidR="00F43895" w:rsidRPr="00C278CB" w:rsidRDefault="00FF070F" w:rsidP="00B71A04">
      <w:pPr>
        <w:tabs>
          <w:tab w:val="left" w:pos="567"/>
        </w:tabs>
        <w:ind w:left="567" w:hanging="567"/>
        <w:rPr>
          <w:rFonts w:cs="Arial"/>
          <w:b/>
          <w:caps/>
        </w:rPr>
      </w:pPr>
      <w:r w:rsidRPr="00C278CB">
        <w:rPr>
          <w:rFonts w:cs="Arial"/>
          <w:b/>
          <w:caps/>
        </w:rPr>
        <w:t xml:space="preserve">AIR QUALITY IMPLICATIONS </w:t>
      </w:r>
    </w:p>
    <w:p w14:paraId="2686825A" w14:textId="77777777" w:rsidR="00833F9E" w:rsidRPr="00C278CB" w:rsidRDefault="00FE0CBF" w:rsidP="00B71A04">
      <w:pPr>
        <w:tabs>
          <w:tab w:val="left" w:pos="567"/>
        </w:tabs>
        <w:ind w:left="567" w:hanging="567"/>
        <w:rPr>
          <w:rFonts w:cs="Arial"/>
          <w:b/>
          <w:caps/>
        </w:rPr>
      </w:pPr>
    </w:p>
    <w:p w14:paraId="2686825B" w14:textId="77777777" w:rsidR="00833F9E" w:rsidRPr="00FE0CBF" w:rsidRDefault="00FF070F" w:rsidP="00833F9E">
      <w:pPr>
        <w:pStyle w:val="ListParagraph"/>
        <w:numPr>
          <w:ilvl w:val="0"/>
          <w:numId w:val="17"/>
        </w:numPr>
        <w:tabs>
          <w:tab w:val="left" w:pos="567"/>
        </w:tabs>
        <w:rPr>
          <w:rFonts w:cs="Arial"/>
          <w:b/>
          <w:caps/>
        </w:rPr>
      </w:pPr>
      <w:r w:rsidRPr="00FE0CBF">
        <w:rPr>
          <w:rFonts w:cs="Arial"/>
        </w:rPr>
        <w:t>The report has no air quality implications.</w:t>
      </w:r>
    </w:p>
    <w:p w14:paraId="2686825C" w14:textId="77777777" w:rsidR="00833F9E" w:rsidRPr="00FE0CBF" w:rsidRDefault="00FE0CBF" w:rsidP="00B71A04">
      <w:pPr>
        <w:tabs>
          <w:tab w:val="left" w:pos="567"/>
        </w:tabs>
        <w:ind w:left="567" w:hanging="567"/>
        <w:rPr>
          <w:rFonts w:cs="Arial"/>
          <w:b/>
          <w:caps/>
        </w:rPr>
      </w:pPr>
    </w:p>
    <w:p w14:paraId="2686825D" w14:textId="77777777" w:rsidR="00F43895" w:rsidRPr="00FE0CBF" w:rsidRDefault="00FF070F" w:rsidP="00B71A04">
      <w:pPr>
        <w:tabs>
          <w:tab w:val="left" w:pos="567"/>
        </w:tabs>
        <w:ind w:left="567" w:hanging="567"/>
        <w:rPr>
          <w:rFonts w:cs="Arial"/>
          <w:b/>
        </w:rPr>
      </w:pPr>
      <w:r w:rsidRPr="00FE0CBF">
        <w:rPr>
          <w:rFonts w:cs="Arial"/>
          <w:b/>
        </w:rPr>
        <w:t>COMMENTS OF THE STATUTORY FINANCE OFFICER</w:t>
      </w:r>
    </w:p>
    <w:p w14:paraId="2686825E" w14:textId="77777777" w:rsidR="00BE2A3F" w:rsidRPr="00FE0CBF" w:rsidRDefault="00FE0CBF" w:rsidP="00B71A04">
      <w:pPr>
        <w:tabs>
          <w:tab w:val="left" w:pos="567"/>
        </w:tabs>
        <w:ind w:left="567" w:hanging="567"/>
        <w:rPr>
          <w:rFonts w:cs="Arial"/>
          <w:b/>
        </w:rPr>
      </w:pPr>
    </w:p>
    <w:p w14:paraId="2686825F" w14:textId="77777777" w:rsidR="00BE2A3F" w:rsidRPr="00FE0CBF" w:rsidRDefault="00FF070F" w:rsidP="00AE5F47">
      <w:pPr>
        <w:pStyle w:val="ListParagraph"/>
        <w:numPr>
          <w:ilvl w:val="0"/>
          <w:numId w:val="17"/>
        </w:numPr>
        <w:tabs>
          <w:tab w:val="left" w:pos="567"/>
        </w:tabs>
        <w:rPr>
          <w:rFonts w:cs="Arial"/>
        </w:rPr>
      </w:pPr>
      <w:r w:rsidRPr="00FE0CBF">
        <w:rPr>
          <w:rFonts w:cs="Arial"/>
        </w:rPr>
        <w:t>The report meets the requirement of the Treasury Management Code of Practice that the Treasury Strategy and activity should be reviewed half-yearly and so is a key element in the reporting under Council’s financial management and administration framework.</w:t>
      </w:r>
    </w:p>
    <w:p w14:paraId="26868260" w14:textId="77777777" w:rsidR="00F43895" w:rsidRPr="00FE0CBF" w:rsidRDefault="00FE0CBF" w:rsidP="00B71A04">
      <w:pPr>
        <w:tabs>
          <w:tab w:val="left" w:pos="567"/>
        </w:tabs>
        <w:ind w:left="567" w:hanging="567"/>
        <w:rPr>
          <w:rFonts w:cs="Arial"/>
          <w:b/>
          <w:i/>
        </w:rPr>
      </w:pPr>
    </w:p>
    <w:p w14:paraId="26868261" w14:textId="77777777" w:rsidR="00F43895" w:rsidRPr="00FE0CBF" w:rsidRDefault="00FF070F" w:rsidP="00B71A04">
      <w:pPr>
        <w:tabs>
          <w:tab w:val="left" w:pos="567"/>
        </w:tabs>
        <w:ind w:left="567" w:hanging="567"/>
        <w:rPr>
          <w:rFonts w:cs="Arial"/>
          <w:b/>
        </w:rPr>
      </w:pPr>
      <w:r w:rsidRPr="00FE0CBF">
        <w:rPr>
          <w:rFonts w:cs="Arial"/>
          <w:b/>
        </w:rPr>
        <w:t>COMMENTS OF THE MONITORING OFFICER</w:t>
      </w:r>
    </w:p>
    <w:p w14:paraId="26868262" w14:textId="77777777" w:rsidR="00F43895" w:rsidRPr="00FE0CBF" w:rsidRDefault="00FE0CBF" w:rsidP="00B71A04">
      <w:pPr>
        <w:tabs>
          <w:tab w:val="left" w:pos="567"/>
        </w:tabs>
        <w:ind w:left="567" w:hanging="567"/>
        <w:rPr>
          <w:rFonts w:cs="Arial"/>
          <w:b/>
        </w:rPr>
      </w:pPr>
    </w:p>
    <w:p w14:paraId="26868263" w14:textId="77777777" w:rsidR="00F43895" w:rsidRPr="00FE0CBF" w:rsidRDefault="00FF070F" w:rsidP="00833F9E">
      <w:pPr>
        <w:pStyle w:val="ListParagraph"/>
        <w:numPr>
          <w:ilvl w:val="0"/>
          <w:numId w:val="17"/>
        </w:numPr>
        <w:tabs>
          <w:tab w:val="left" w:pos="567"/>
        </w:tabs>
        <w:rPr>
          <w:rFonts w:cs="Arial"/>
          <w:b/>
        </w:rPr>
      </w:pPr>
      <w:r w:rsidRPr="00FE0CBF">
        <w:t>The Monitoring Officer has no concerns or issues with what is proposed in this report.</w:t>
      </w:r>
    </w:p>
    <w:p w14:paraId="26868264" w14:textId="77777777" w:rsidR="002F5C5E" w:rsidRPr="00C278CB" w:rsidRDefault="00FE0CBF" w:rsidP="002F5C5E">
      <w:pPr>
        <w:rPr>
          <w:b/>
          <w:strike/>
          <w:szCs w:val="22"/>
        </w:rPr>
      </w:pPr>
    </w:p>
    <w:p w14:paraId="26868265" w14:textId="77777777" w:rsidR="000B5251" w:rsidRPr="00C278CB" w:rsidRDefault="00FF070F" w:rsidP="000B5251">
      <w:pPr>
        <w:rPr>
          <w:b/>
          <w:szCs w:val="22"/>
        </w:rPr>
      </w:pPr>
      <w:r w:rsidRPr="00C278CB">
        <w:rPr>
          <w:b/>
          <w:szCs w:val="22"/>
        </w:rPr>
        <w:t xml:space="preserve">OTHER IMPLICATIONS: </w:t>
      </w:r>
    </w:p>
    <w:p w14:paraId="26868266" w14:textId="77777777" w:rsidR="003C36EB" w:rsidRPr="00C278CB" w:rsidRDefault="00FE0CBF"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F1118B" w14:paraId="26868273" w14:textId="77777777" w:rsidTr="009C1143">
        <w:trPr>
          <w:trHeight w:val="334"/>
        </w:trPr>
        <w:tc>
          <w:tcPr>
            <w:tcW w:w="3544" w:type="dxa"/>
            <w:shd w:val="clear" w:color="auto" w:fill="auto"/>
          </w:tcPr>
          <w:p w14:paraId="26868267" w14:textId="77777777" w:rsidR="00A56681" w:rsidRPr="00C278CB" w:rsidRDefault="00FE0CBF" w:rsidP="00A56681">
            <w:pPr>
              <w:ind w:left="360"/>
              <w:rPr>
                <w:b/>
                <w:szCs w:val="22"/>
              </w:rPr>
            </w:pPr>
          </w:p>
          <w:p w14:paraId="26868268" w14:textId="77777777" w:rsidR="002F5C5E" w:rsidRPr="00C278CB" w:rsidRDefault="00FF070F" w:rsidP="0047741D">
            <w:pPr>
              <w:numPr>
                <w:ilvl w:val="0"/>
                <w:numId w:val="11"/>
              </w:numPr>
              <w:ind w:left="360"/>
              <w:rPr>
                <w:b/>
                <w:szCs w:val="22"/>
              </w:rPr>
            </w:pPr>
            <w:r w:rsidRPr="00C278CB">
              <w:rPr>
                <w:b/>
                <w:szCs w:val="22"/>
              </w:rPr>
              <w:t xml:space="preserve">Risk </w:t>
            </w:r>
          </w:p>
          <w:p w14:paraId="26868269" w14:textId="77777777" w:rsidR="003C36EB" w:rsidRDefault="00FE0CBF" w:rsidP="0047741D">
            <w:pPr>
              <w:rPr>
                <w:b/>
                <w:szCs w:val="22"/>
              </w:rPr>
            </w:pPr>
          </w:p>
          <w:p w14:paraId="2686826A" w14:textId="77777777" w:rsidR="00AE5F47" w:rsidRDefault="00FE0CBF" w:rsidP="0047741D">
            <w:pPr>
              <w:rPr>
                <w:b/>
                <w:szCs w:val="22"/>
              </w:rPr>
            </w:pPr>
          </w:p>
          <w:p w14:paraId="2686826B" w14:textId="77777777" w:rsidR="00AE5F47" w:rsidRPr="00C278CB" w:rsidRDefault="00FE0CBF" w:rsidP="0047741D">
            <w:pPr>
              <w:rPr>
                <w:b/>
                <w:szCs w:val="22"/>
              </w:rPr>
            </w:pPr>
          </w:p>
          <w:p w14:paraId="2686826C" w14:textId="77777777" w:rsidR="002F5C5E" w:rsidRPr="00C278CB" w:rsidRDefault="00FF070F" w:rsidP="00A56681">
            <w:pPr>
              <w:numPr>
                <w:ilvl w:val="0"/>
                <w:numId w:val="11"/>
              </w:numPr>
              <w:ind w:left="360"/>
              <w:rPr>
                <w:b/>
                <w:szCs w:val="22"/>
              </w:rPr>
            </w:pPr>
            <w:r w:rsidRPr="00C278CB">
              <w:rPr>
                <w:b/>
                <w:szCs w:val="22"/>
              </w:rPr>
              <w:t xml:space="preserve">Equality &amp; Diversity </w:t>
            </w:r>
          </w:p>
          <w:p w14:paraId="2686826D" w14:textId="77777777" w:rsidR="00A56681" w:rsidRPr="00C278CB" w:rsidRDefault="00FE0CBF" w:rsidP="00A56681">
            <w:pPr>
              <w:rPr>
                <w:b/>
                <w:szCs w:val="22"/>
              </w:rPr>
            </w:pPr>
          </w:p>
          <w:p w14:paraId="2686826E" w14:textId="77777777" w:rsidR="00AF254C" w:rsidRPr="00C278CB" w:rsidRDefault="00FE0CBF" w:rsidP="00AC4A99">
            <w:pPr>
              <w:rPr>
                <w:b/>
                <w:szCs w:val="22"/>
              </w:rPr>
            </w:pPr>
          </w:p>
          <w:p w14:paraId="2686826F" w14:textId="77777777" w:rsidR="002F5C5E" w:rsidRPr="00C278CB" w:rsidRDefault="00FE0CBF" w:rsidP="00AC4A99">
            <w:pPr>
              <w:rPr>
                <w:szCs w:val="22"/>
              </w:rPr>
            </w:pPr>
          </w:p>
        </w:tc>
        <w:tc>
          <w:tcPr>
            <w:tcW w:w="6379" w:type="dxa"/>
            <w:shd w:val="clear" w:color="auto" w:fill="auto"/>
          </w:tcPr>
          <w:p w14:paraId="26868270" w14:textId="77777777" w:rsidR="002F5C5E" w:rsidRPr="00C278CB" w:rsidRDefault="00FE0CBF" w:rsidP="00AC4A99">
            <w:pPr>
              <w:rPr>
                <w:szCs w:val="22"/>
              </w:rPr>
            </w:pPr>
          </w:p>
          <w:p w14:paraId="26868271" w14:textId="77777777" w:rsidR="00F43895" w:rsidRPr="00AE5F47" w:rsidRDefault="00FF070F" w:rsidP="00AC4A99">
            <w:pPr>
              <w:rPr>
                <w:szCs w:val="22"/>
              </w:rPr>
            </w:pPr>
            <w:r w:rsidRPr="00676C77">
              <w:rPr>
                <w:rFonts w:cs="Arial"/>
                <w:color w:val="000000" w:themeColor="text1"/>
              </w:rPr>
              <w:t>The Council’s treasury management strategy and policies are designed to ensure the effective control and management of the risks associated with such activities.</w:t>
            </w:r>
          </w:p>
          <w:p w14:paraId="26868272" w14:textId="77777777" w:rsidR="00F43895" w:rsidRPr="00C278CB" w:rsidRDefault="00FE0CBF" w:rsidP="00AC4A99">
            <w:pPr>
              <w:rPr>
                <w:i/>
                <w:szCs w:val="22"/>
              </w:rPr>
            </w:pPr>
          </w:p>
        </w:tc>
      </w:tr>
    </w:tbl>
    <w:p w14:paraId="26868274" w14:textId="77777777" w:rsidR="00B71A04" w:rsidRPr="00C278CB" w:rsidRDefault="00FE0CBF" w:rsidP="002F5C5E">
      <w:pPr>
        <w:rPr>
          <w:b/>
          <w:szCs w:val="22"/>
        </w:rPr>
      </w:pPr>
    </w:p>
    <w:p w14:paraId="26868275" w14:textId="77777777" w:rsidR="002F5C5E" w:rsidRPr="00C278CB" w:rsidRDefault="00FF070F" w:rsidP="00B71A04">
      <w:pPr>
        <w:tabs>
          <w:tab w:val="left" w:pos="567"/>
        </w:tabs>
        <w:rPr>
          <w:b/>
          <w:szCs w:val="22"/>
        </w:rPr>
      </w:pPr>
      <w:r>
        <w:rPr>
          <w:b/>
          <w:szCs w:val="22"/>
        </w:rPr>
        <w:t>BACKGROUND DOCUMENTS</w:t>
      </w:r>
    </w:p>
    <w:p w14:paraId="26868276" w14:textId="77777777" w:rsidR="000B5251" w:rsidRPr="00C278CB" w:rsidRDefault="00FE0CBF" w:rsidP="00B71A04">
      <w:pPr>
        <w:tabs>
          <w:tab w:val="left" w:pos="567"/>
        </w:tabs>
        <w:rPr>
          <w:szCs w:val="22"/>
        </w:rPr>
      </w:pPr>
    </w:p>
    <w:p w14:paraId="26868277" w14:textId="77777777" w:rsidR="002F5C5E" w:rsidRPr="00C104AB" w:rsidRDefault="00FF070F" w:rsidP="00833F9E">
      <w:pPr>
        <w:tabs>
          <w:tab w:val="left" w:pos="567"/>
        </w:tabs>
      </w:pPr>
      <w:r>
        <w:rPr>
          <w:szCs w:val="22"/>
        </w:rPr>
        <w:t>Treasury Strategy 2018/19 to 2022/23 (Council 27/2/19)</w:t>
      </w:r>
    </w:p>
    <w:p w14:paraId="26868278" w14:textId="77777777" w:rsidR="000B5251" w:rsidRPr="00C278CB" w:rsidRDefault="00FE0CBF" w:rsidP="00B71A04">
      <w:pPr>
        <w:tabs>
          <w:tab w:val="left" w:pos="567"/>
        </w:tabs>
        <w:rPr>
          <w:i/>
          <w:szCs w:val="22"/>
        </w:rPr>
      </w:pPr>
    </w:p>
    <w:p w14:paraId="26868279" w14:textId="77777777" w:rsidR="000B5251" w:rsidRPr="00C278CB" w:rsidRDefault="00FF070F" w:rsidP="00B71A04">
      <w:pPr>
        <w:tabs>
          <w:tab w:val="left" w:pos="567"/>
        </w:tabs>
        <w:rPr>
          <w:b/>
        </w:rPr>
      </w:pPr>
      <w:r w:rsidRPr="00C278CB">
        <w:rPr>
          <w:b/>
        </w:rPr>
        <w:t>APPENDICES (or There are no appendices to this report)</w:t>
      </w:r>
    </w:p>
    <w:p w14:paraId="2686827A" w14:textId="77777777" w:rsidR="000B5251" w:rsidRPr="00C278CB" w:rsidRDefault="00FE0CBF" w:rsidP="00B71A04">
      <w:pPr>
        <w:tabs>
          <w:tab w:val="left" w:pos="567"/>
        </w:tabs>
        <w:rPr>
          <w:b/>
        </w:rPr>
      </w:pPr>
      <w:bookmarkStart w:id="0" w:name="_GoBack"/>
      <w:bookmarkEnd w:id="0"/>
    </w:p>
    <w:p w14:paraId="2686827B" w14:textId="77777777" w:rsidR="00C104AB" w:rsidRPr="005836A6" w:rsidRDefault="00FF070F" w:rsidP="00C104AB">
      <w:pPr>
        <w:ind w:left="720" w:hanging="720"/>
        <w:rPr>
          <w:rFonts w:cs="Arial"/>
          <w:color w:val="000000" w:themeColor="text1"/>
        </w:rPr>
      </w:pPr>
      <w:r w:rsidRPr="005836A6">
        <w:rPr>
          <w:rFonts w:cs="Arial"/>
          <w:color w:val="000000" w:themeColor="text1"/>
        </w:rPr>
        <w:t>Appendix A</w:t>
      </w:r>
      <w:r w:rsidRPr="005836A6">
        <w:rPr>
          <w:rFonts w:cs="Arial"/>
          <w:color w:val="000000" w:themeColor="text1"/>
        </w:rPr>
        <w:tab/>
      </w:r>
      <w:r>
        <w:rPr>
          <w:rFonts w:cs="Arial"/>
          <w:color w:val="000000" w:themeColor="text1"/>
        </w:rPr>
        <w:t>Investment Counterparties</w:t>
      </w:r>
    </w:p>
    <w:p w14:paraId="2686827C" w14:textId="77777777" w:rsidR="00C104AB" w:rsidRDefault="00FF070F" w:rsidP="00C104AB">
      <w:pPr>
        <w:ind w:left="720" w:hanging="720"/>
        <w:rPr>
          <w:rFonts w:cs="Arial"/>
          <w:color w:val="000000" w:themeColor="text1"/>
        </w:rPr>
      </w:pPr>
      <w:r w:rsidRPr="005836A6">
        <w:rPr>
          <w:rFonts w:cs="Arial"/>
          <w:color w:val="000000" w:themeColor="text1"/>
        </w:rPr>
        <w:t xml:space="preserve">Appendix </w:t>
      </w:r>
      <w:r>
        <w:rPr>
          <w:rFonts w:cs="Arial"/>
          <w:color w:val="000000" w:themeColor="text1"/>
        </w:rPr>
        <w:t>B</w:t>
      </w:r>
      <w:r w:rsidRPr="005836A6">
        <w:rPr>
          <w:rFonts w:cs="Arial"/>
          <w:color w:val="000000" w:themeColor="text1"/>
        </w:rPr>
        <w:tab/>
      </w:r>
      <w:r>
        <w:rPr>
          <w:rFonts w:cs="Arial"/>
          <w:color w:val="000000" w:themeColor="text1"/>
        </w:rPr>
        <w:t>List of Investments as at 30 September 2019</w:t>
      </w:r>
    </w:p>
    <w:p w14:paraId="2686827D" w14:textId="77777777" w:rsidR="00C104AB" w:rsidRDefault="00FF070F" w:rsidP="00C104AB">
      <w:pPr>
        <w:ind w:left="720" w:hanging="720"/>
        <w:rPr>
          <w:rFonts w:cs="Arial"/>
          <w:color w:val="000000" w:themeColor="text1"/>
        </w:rPr>
      </w:pPr>
      <w:r>
        <w:rPr>
          <w:rFonts w:cs="Arial"/>
          <w:color w:val="000000" w:themeColor="text1"/>
        </w:rPr>
        <w:t>Appendix C</w:t>
      </w:r>
      <w:r>
        <w:rPr>
          <w:rFonts w:cs="Arial"/>
          <w:color w:val="000000" w:themeColor="text1"/>
        </w:rPr>
        <w:tab/>
        <w:t>Suggested Investment Durations as at November 2019</w:t>
      </w:r>
    </w:p>
    <w:p w14:paraId="2686827E" w14:textId="77777777" w:rsidR="00C104AB" w:rsidRDefault="00FF070F" w:rsidP="00C104AB">
      <w:pPr>
        <w:ind w:left="720" w:hanging="720"/>
        <w:rPr>
          <w:rFonts w:cs="Arial"/>
          <w:color w:val="000000" w:themeColor="text1"/>
        </w:rPr>
      </w:pPr>
      <w:r>
        <w:rPr>
          <w:rFonts w:cs="Arial"/>
          <w:color w:val="000000" w:themeColor="text1"/>
        </w:rPr>
        <w:t>Appendix D</w:t>
      </w:r>
      <w:r>
        <w:rPr>
          <w:rFonts w:cs="Arial"/>
          <w:color w:val="000000" w:themeColor="text1"/>
        </w:rPr>
        <w:tab/>
      </w:r>
      <w:r w:rsidRPr="005836A6">
        <w:rPr>
          <w:rFonts w:cs="Arial"/>
          <w:color w:val="000000" w:themeColor="text1"/>
        </w:rPr>
        <w:t>Economics and Interest Rates – Treasury Advisors’ advice</w:t>
      </w:r>
    </w:p>
    <w:p w14:paraId="2686827F" w14:textId="77777777" w:rsidR="00C104AB" w:rsidRDefault="00FF070F" w:rsidP="00C104AB">
      <w:pPr>
        <w:ind w:left="720" w:hanging="720"/>
        <w:rPr>
          <w:rFonts w:cs="Arial"/>
          <w:color w:val="000000" w:themeColor="text1"/>
        </w:rPr>
      </w:pPr>
      <w:r>
        <w:rPr>
          <w:rFonts w:cs="Arial"/>
          <w:color w:val="000000" w:themeColor="text1"/>
        </w:rPr>
        <w:t>Appendix E</w:t>
      </w:r>
      <w:r>
        <w:rPr>
          <w:rFonts w:cs="Arial"/>
          <w:color w:val="000000" w:themeColor="text1"/>
        </w:rPr>
        <w:tab/>
      </w:r>
      <w:r w:rsidRPr="005836A6">
        <w:rPr>
          <w:rFonts w:cs="Arial"/>
          <w:color w:val="000000" w:themeColor="text1"/>
        </w:rPr>
        <w:t>Comparison of Interest Rates Forecasts</w:t>
      </w:r>
    </w:p>
    <w:p w14:paraId="26868280" w14:textId="77777777" w:rsidR="001C5E49" w:rsidRPr="00C278CB" w:rsidRDefault="00FE0CBF" w:rsidP="00B71A04">
      <w:pPr>
        <w:tabs>
          <w:tab w:val="left" w:pos="567"/>
          <w:tab w:val="left" w:pos="2839"/>
        </w:tabs>
        <w:rPr>
          <w:b/>
          <w:szCs w:val="22"/>
        </w:rPr>
      </w:pPr>
    </w:p>
    <w:p w14:paraId="26868281" w14:textId="77777777" w:rsidR="001C5E49" w:rsidRPr="00C278CB" w:rsidRDefault="00FE0CBF" w:rsidP="001C5E49">
      <w:pPr>
        <w:tabs>
          <w:tab w:val="left" w:pos="2839"/>
        </w:tabs>
        <w:ind w:left="426" w:hanging="426"/>
        <w:rPr>
          <w:rFonts w:cs="Arial"/>
        </w:rPr>
      </w:pPr>
    </w:p>
    <w:p w14:paraId="26868282" w14:textId="77777777" w:rsidR="00221FDA" w:rsidRPr="00FE1530" w:rsidRDefault="00FF070F" w:rsidP="00221FDA">
      <w:pPr>
        <w:tabs>
          <w:tab w:val="left" w:pos="2839"/>
        </w:tabs>
        <w:ind w:left="426" w:hanging="426"/>
        <w:rPr>
          <w:rFonts w:cs="Arial"/>
          <w:b/>
          <w:color w:val="000000" w:themeColor="text1"/>
        </w:rPr>
      </w:pPr>
      <w:r>
        <w:rPr>
          <w:rFonts w:cs="Arial"/>
          <w:b/>
          <w:color w:val="000000" w:themeColor="text1"/>
        </w:rPr>
        <w:t>Jane Blundell</w:t>
      </w:r>
    </w:p>
    <w:p w14:paraId="26868283" w14:textId="77777777" w:rsidR="001C5E49" w:rsidRPr="00C278CB" w:rsidRDefault="00FF070F" w:rsidP="00221FDA">
      <w:pPr>
        <w:tabs>
          <w:tab w:val="left" w:pos="2839"/>
        </w:tabs>
        <w:rPr>
          <w:rFonts w:cs="Arial"/>
        </w:rPr>
      </w:pPr>
      <w:r>
        <w:rPr>
          <w:rFonts w:cs="Arial"/>
          <w:b/>
          <w:color w:val="000000" w:themeColor="text1"/>
        </w:rPr>
        <w:t>Interim S151 Officer</w:t>
      </w:r>
    </w:p>
    <w:p w14:paraId="26868284" w14:textId="77777777" w:rsidR="001C5E49" w:rsidRPr="007F1945" w:rsidRDefault="00FE0CB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F1118B" w14:paraId="26868288" w14:textId="77777777" w:rsidTr="00E2196F">
        <w:tc>
          <w:tcPr>
            <w:tcW w:w="5700" w:type="dxa"/>
            <w:shd w:val="clear" w:color="auto" w:fill="auto"/>
          </w:tcPr>
          <w:p w14:paraId="26868285" w14:textId="77777777" w:rsidR="001C5E49" w:rsidRPr="0031059E" w:rsidRDefault="00FF070F" w:rsidP="00E2196F">
            <w:pPr>
              <w:rPr>
                <w:rFonts w:cs="Arial"/>
              </w:rPr>
            </w:pPr>
            <w:r w:rsidRPr="0031059E">
              <w:rPr>
                <w:rFonts w:cs="Arial"/>
              </w:rPr>
              <w:t>Report Author:</w:t>
            </w:r>
          </w:p>
        </w:tc>
        <w:tc>
          <w:tcPr>
            <w:tcW w:w="1559" w:type="dxa"/>
            <w:shd w:val="clear" w:color="auto" w:fill="auto"/>
          </w:tcPr>
          <w:p w14:paraId="26868286" w14:textId="77777777" w:rsidR="001C5E49" w:rsidRPr="0031059E" w:rsidRDefault="00FF070F" w:rsidP="00E2196F">
            <w:pPr>
              <w:rPr>
                <w:rFonts w:cs="Arial"/>
              </w:rPr>
            </w:pPr>
            <w:r w:rsidRPr="0031059E">
              <w:rPr>
                <w:rFonts w:cs="Arial"/>
              </w:rPr>
              <w:t>Telephone:</w:t>
            </w:r>
          </w:p>
        </w:tc>
        <w:tc>
          <w:tcPr>
            <w:tcW w:w="2380" w:type="dxa"/>
            <w:shd w:val="clear" w:color="auto" w:fill="auto"/>
          </w:tcPr>
          <w:p w14:paraId="26868287" w14:textId="77777777" w:rsidR="001C5E49" w:rsidRPr="0031059E" w:rsidRDefault="00FF070F" w:rsidP="00E2196F">
            <w:pPr>
              <w:rPr>
                <w:rFonts w:cs="Arial"/>
              </w:rPr>
            </w:pPr>
            <w:r w:rsidRPr="0031059E">
              <w:rPr>
                <w:rFonts w:cs="Arial"/>
              </w:rPr>
              <w:t>Date:</w:t>
            </w:r>
          </w:p>
        </w:tc>
      </w:tr>
      <w:tr w:rsidR="00F1118B" w14:paraId="2686828C" w14:textId="77777777" w:rsidTr="00E2196F">
        <w:tc>
          <w:tcPr>
            <w:tcW w:w="5700" w:type="dxa"/>
            <w:shd w:val="clear" w:color="auto" w:fill="auto"/>
          </w:tcPr>
          <w:p w14:paraId="26868289" w14:textId="77777777" w:rsidR="00C903AC" w:rsidRPr="0031059E" w:rsidRDefault="00FF070F"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p>
        </w:tc>
        <w:tc>
          <w:tcPr>
            <w:tcW w:w="1559" w:type="dxa"/>
            <w:shd w:val="clear" w:color="auto" w:fill="auto"/>
          </w:tcPr>
          <w:p w14:paraId="2686828A" w14:textId="77777777" w:rsidR="00C903AC" w:rsidRPr="0031059E" w:rsidRDefault="00FF070F" w:rsidP="00C903AC">
            <w:pPr>
              <w:rPr>
                <w:rFonts w:cs="Arial"/>
              </w:rPr>
            </w:pPr>
            <w:r>
              <w:rPr>
                <w:rFonts w:cs="Arial"/>
              </w:rPr>
              <w:t>01772 625376</w:t>
            </w:r>
          </w:p>
        </w:tc>
        <w:tc>
          <w:tcPr>
            <w:tcW w:w="2380" w:type="dxa"/>
            <w:shd w:val="clear" w:color="auto" w:fill="auto"/>
          </w:tcPr>
          <w:p w14:paraId="2686828B" w14:textId="77777777" w:rsidR="00C903AC" w:rsidRPr="0031059E" w:rsidRDefault="00FF070F" w:rsidP="00C903AC">
            <w:pPr>
              <w:rPr>
                <w:rFonts w:cs="Arial"/>
              </w:rPr>
            </w:pPr>
            <w:r>
              <w:rPr>
                <w:rFonts w:cs="Arial"/>
              </w:rPr>
              <w:t>14 November 2019</w:t>
            </w:r>
          </w:p>
        </w:tc>
      </w:tr>
    </w:tbl>
    <w:p w14:paraId="2686828D" w14:textId="77777777" w:rsidR="001C5E49" w:rsidRPr="009725FB" w:rsidRDefault="00FE0CBF"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8296" w14:textId="77777777" w:rsidR="003A136A" w:rsidRDefault="00FF070F">
      <w:r>
        <w:separator/>
      </w:r>
    </w:p>
  </w:endnote>
  <w:endnote w:type="continuationSeparator" w:id="0">
    <w:p w14:paraId="26868298" w14:textId="77777777" w:rsidR="003A136A" w:rsidRDefault="00F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8290" w14:textId="77777777" w:rsidR="00FD7B65" w:rsidRPr="00FD7B65" w:rsidRDefault="00FF070F">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FE0CBF">
      <w:rPr>
        <w:noProof/>
        <w:sz w:val="24"/>
      </w:rPr>
      <w:t>4</w:t>
    </w:r>
    <w:r w:rsidRPr="00FD7B65">
      <w:rPr>
        <w:noProof/>
        <w:sz w:val="24"/>
      </w:rPr>
      <w:fldChar w:fldCharType="end"/>
    </w:r>
  </w:p>
  <w:p w14:paraId="26868291" w14:textId="77777777" w:rsidR="00FD7B65" w:rsidRDefault="00FE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8292" w14:textId="77777777" w:rsidR="003A136A" w:rsidRDefault="00FF070F">
      <w:r>
        <w:separator/>
      </w:r>
    </w:p>
  </w:footnote>
  <w:footnote w:type="continuationSeparator" w:id="0">
    <w:p w14:paraId="26868294" w14:textId="77777777" w:rsidR="003A136A" w:rsidRDefault="00FF0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715A04B6">
      <w:start w:val="1"/>
      <w:numFmt w:val="bullet"/>
      <w:lvlText w:val=""/>
      <w:lvlJc w:val="left"/>
      <w:pPr>
        <w:ind w:left="720" w:hanging="360"/>
      </w:pPr>
      <w:rPr>
        <w:rFonts w:ascii="Symbol" w:hAnsi="Symbol" w:hint="default"/>
      </w:rPr>
    </w:lvl>
    <w:lvl w:ilvl="1" w:tplc="11ECEEDC" w:tentative="1">
      <w:start w:val="1"/>
      <w:numFmt w:val="bullet"/>
      <w:lvlText w:val="o"/>
      <w:lvlJc w:val="left"/>
      <w:pPr>
        <w:ind w:left="1440" w:hanging="360"/>
      </w:pPr>
      <w:rPr>
        <w:rFonts w:ascii="Courier New" w:hAnsi="Courier New" w:cs="Courier New" w:hint="default"/>
      </w:rPr>
    </w:lvl>
    <w:lvl w:ilvl="2" w:tplc="F16688B6" w:tentative="1">
      <w:start w:val="1"/>
      <w:numFmt w:val="bullet"/>
      <w:lvlText w:val=""/>
      <w:lvlJc w:val="left"/>
      <w:pPr>
        <w:ind w:left="2160" w:hanging="360"/>
      </w:pPr>
      <w:rPr>
        <w:rFonts w:ascii="Wingdings" w:hAnsi="Wingdings" w:hint="default"/>
      </w:rPr>
    </w:lvl>
    <w:lvl w:ilvl="3" w:tplc="2CA62104" w:tentative="1">
      <w:start w:val="1"/>
      <w:numFmt w:val="bullet"/>
      <w:lvlText w:val=""/>
      <w:lvlJc w:val="left"/>
      <w:pPr>
        <w:ind w:left="2880" w:hanging="360"/>
      </w:pPr>
      <w:rPr>
        <w:rFonts w:ascii="Symbol" w:hAnsi="Symbol" w:hint="default"/>
      </w:rPr>
    </w:lvl>
    <w:lvl w:ilvl="4" w:tplc="0C5A30AA" w:tentative="1">
      <w:start w:val="1"/>
      <w:numFmt w:val="bullet"/>
      <w:lvlText w:val="o"/>
      <w:lvlJc w:val="left"/>
      <w:pPr>
        <w:ind w:left="3600" w:hanging="360"/>
      </w:pPr>
      <w:rPr>
        <w:rFonts w:ascii="Courier New" w:hAnsi="Courier New" w:cs="Courier New" w:hint="default"/>
      </w:rPr>
    </w:lvl>
    <w:lvl w:ilvl="5" w:tplc="3C7E02DE" w:tentative="1">
      <w:start w:val="1"/>
      <w:numFmt w:val="bullet"/>
      <w:lvlText w:val=""/>
      <w:lvlJc w:val="left"/>
      <w:pPr>
        <w:ind w:left="4320" w:hanging="360"/>
      </w:pPr>
      <w:rPr>
        <w:rFonts w:ascii="Wingdings" w:hAnsi="Wingdings" w:hint="default"/>
      </w:rPr>
    </w:lvl>
    <w:lvl w:ilvl="6" w:tplc="793C961E" w:tentative="1">
      <w:start w:val="1"/>
      <w:numFmt w:val="bullet"/>
      <w:lvlText w:val=""/>
      <w:lvlJc w:val="left"/>
      <w:pPr>
        <w:ind w:left="5040" w:hanging="360"/>
      </w:pPr>
      <w:rPr>
        <w:rFonts w:ascii="Symbol" w:hAnsi="Symbol" w:hint="default"/>
      </w:rPr>
    </w:lvl>
    <w:lvl w:ilvl="7" w:tplc="AC46AD56" w:tentative="1">
      <w:start w:val="1"/>
      <w:numFmt w:val="bullet"/>
      <w:lvlText w:val="o"/>
      <w:lvlJc w:val="left"/>
      <w:pPr>
        <w:ind w:left="5760" w:hanging="360"/>
      </w:pPr>
      <w:rPr>
        <w:rFonts w:ascii="Courier New" w:hAnsi="Courier New" w:cs="Courier New" w:hint="default"/>
      </w:rPr>
    </w:lvl>
    <w:lvl w:ilvl="8" w:tplc="54BAE25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47609F96">
      <w:start w:val="1"/>
      <w:numFmt w:val="bullet"/>
      <w:lvlText w:val=""/>
      <w:lvlJc w:val="left"/>
      <w:pPr>
        <w:ind w:left="780" w:hanging="360"/>
      </w:pPr>
      <w:rPr>
        <w:rFonts w:ascii="Symbol" w:hAnsi="Symbol" w:hint="default"/>
      </w:rPr>
    </w:lvl>
    <w:lvl w:ilvl="1" w:tplc="C5AAA462" w:tentative="1">
      <w:start w:val="1"/>
      <w:numFmt w:val="bullet"/>
      <w:lvlText w:val="o"/>
      <w:lvlJc w:val="left"/>
      <w:pPr>
        <w:ind w:left="1500" w:hanging="360"/>
      </w:pPr>
      <w:rPr>
        <w:rFonts w:ascii="Courier New" w:hAnsi="Courier New" w:cs="Courier New" w:hint="default"/>
      </w:rPr>
    </w:lvl>
    <w:lvl w:ilvl="2" w:tplc="B68CBB7E" w:tentative="1">
      <w:start w:val="1"/>
      <w:numFmt w:val="bullet"/>
      <w:lvlText w:val=""/>
      <w:lvlJc w:val="left"/>
      <w:pPr>
        <w:ind w:left="2220" w:hanging="360"/>
      </w:pPr>
      <w:rPr>
        <w:rFonts w:ascii="Wingdings" w:hAnsi="Wingdings" w:hint="default"/>
      </w:rPr>
    </w:lvl>
    <w:lvl w:ilvl="3" w:tplc="499A18AE" w:tentative="1">
      <w:start w:val="1"/>
      <w:numFmt w:val="bullet"/>
      <w:lvlText w:val=""/>
      <w:lvlJc w:val="left"/>
      <w:pPr>
        <w:ind w:left="2940" w:hanging="360"/>
      </w:pPr>
      <w:rPr>
        <w:rFonts w:ascii="Symbol" w:hAnsi="Symbol" w:hint="default"/>
      </w:rPr>
    </w:lvl>
    <w:lvl w:ilvl="4" w:tplc="39586598" w:tentative="1">
      <w:start w:val="1"/>
      <w:numFmt w:val="bullet"/>
      <w:lvlText w:val="o"/>
      <w:lvlJc w:val="left"/>
      <w:pPr>
        <w:ind w:left="3660" w:hanging="360"/>
      </w:pPr>
      <w:rPr>
        <w:rFonts w:ascii="Courier New" w:hAnsi="Courier New" w:cs="Courier New" w:hint="default"/>
      </w:rPr>
    </w:lvl>
    <w:lvl w:ilvl="5" w:tplc="15BAFB1E" w:tentative="1">
      <w:start w:val="1"/>
      <w:numFmt w:val="bullet"/>
      <w:lvlText w:val=""/>
      <w:lvlJc w:val="left"/>
      <w:pPr>
        <w:ind w:left="4380" w:hanging="360"/>
      </w:pPr>
      <w:rPr>
        <w:rFonts w:ascii="Wingdings" w:hAnsi="Wingdings" w:hint="default"/>
      </w:rPr>
    </w:lvl>
    <w:lvl w:ilvl="6" w:tplc="6E04FA56" w:tentative="1">
      <w:start w:val="1"/>
      <w:numFmt w:val="bullet"/>
      <w:lvlText w:val=""/>
      <w:lvlJc w:val="left"/>
      <w:pPr>
        <w:ind w:left="5100" w:hanging="360"/>
      </w:pPr>
      <w:rPr>
        <w:rFonts w:ascii="Symbol" w:hAnsi="Symbol" w:hint="default"/>
      </w:rPr>
    </w:lvl>
    <w:lvl w:ilvl="7" w:tplc="71042BAE" w:tentative="1">
      <w:start w:val="1"/>
      <w:numFmt w:val="bullet"/>
      <w:lvlText w:val="o"/>
      <w:lvlJc w:val="left"/>
      <w:pPr>
        <w:ind w:left="5820" w:hanging="360"/>
      </w:pPr>
      <w:rPr>
        <w:rFonts w:ascii="Courier New" w:hAnsi="Courier New" w:cs="Courier New" w:hint="default"/>
      </w:rPr>
    </w:lvl>
    <w:lvl w:ilvl="8" w:tplc="2F80CE5A"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C0FAF072">
      <w:start w:val="1"/>
      <w:numFmt w:val="bullet"/>
      <w:lvlText w:val="u"/>
      <w:lvlJc w:val="left"/>
      <w:pPr>
        <w:ind w:left="720" w:hanging="360"/>
      </w:pPr>
      <w:rPr>
        <w:rFonts w:ascii="Wingdings 3" w:hAnsi="Wingdings 3" w:hint="default"/>
      </w:rPr>
    </w:lvl>
    <w:lvl w:ilvl="1" w:tplc="1026F272" w:tentative="1">
      <w:start w:val="1"/>
      <w:numFmt w:val="bullet"/>
      <w:lvlText w:val="o"/>
      <w:lvlJc w:val="left"/>
      <w:pPr>
        <w:ind w:left="1440" w:hanging="360"/>
      </w:pPr>
      <w:rPr>
        <w:rFonts w:ascii="Courier New" w:hAnsi="Courier New" w:cs="Courier New" w:hint="default"/>
      </w:rPr>
    </w:lvl>
    <w:lvl w:ilvl="2" w:tplc="811A5AB4" w:tentative="1">
      <w:start w:val="1"/>
      <w:numFmt w:val="bullet"/>
      <w:lvlText w:val=""/>
      <w:lvlJc w:val="left"/>
      <w:pPr>
        <w:ind w:left="2160" w:hanging="360"/>
      </w:pPr>
      <w:rPr>
        <w:rFonts w:ascii="Wingdings" w:hAnsi="Wingdings" w:hint="default"/>
      </w:rPr>
    </w:lvl>
    <w:lvl w:ilvl="3" w:tplc="434E8AB6" w:tentative="1">
      <w:start w:val="1"/>
      <w:numFmt w:val="bullet"/>
      <w:lvlText w:val=""/>
      <w:lvlJc w:val="left"/>
      <w:pPr>
        <w:ind w:left="2880" w:hanging="360"/>
      </w:pPr>
      <w:rPr>
        <w:rFonts w:ascii="Symbol" w:hAnsi="Symbol" w:hint="default"/>
      </w:rPr>
    </w:lvl>
    <w:lvl w:ilvl="4" w:tplc="EDDA80AE" w:tentative="1">
      <w:start w:val="1"/>
      <w:numFmt w:val="bullet"/>
      <w:lvlText w:val="o"/>
      <w:lvlJc w:val="left"/>
      <w:pPr>
        <w:ind w:left="3600" w:hanging="360"/>
      </w:pPr>
      <w:rPr>
        <w:rFonts w:ascii="Courier New" w:hAnsi="Courier New" w:cs="Courier New" w:hint="default"/>
      </w:rPr>
    </w:lvl>
    <w:lvl w:ilvl="5" w:tplc="0DF01DD4" w:tentative="1">
      <w:start w:val="1"/>
      <w:numFmt w:val="bullet"/>
      <w:lvlText w:val=""/>
      <w:lvlJc w:val="left"/>
      <w:pPr>
        <w:ind w:left="4320" w:hanging="360"/>
      </w:pPr>
      <w:rPr>
        <w:rFonts w:ascii="Wingdings" w:hAnsi="Wingdings" w:hint="default"/>
      </w:rPr>
    </w:lvl>
    <w:lvl w:ilvl="6" w:tplc="950A10C4" w:tentative="1">
      <w:start w:val="1"/>
      <w:numFmt w:val="bullet"/>
      <w:lvlText w:val=""/>
      <w:lvlJc w:val="left"/>
      <w:pPr>
        <w:ind w:left="5040" w:hanging="360"/>
      </w:pPr>
      <w:rPr>
        <w:rFonts w:ascii="Symbol" w:hAnsi="Symbol" w:hint="default"/>
      </w:rPr>
    </w:lvl>
    <w:lvl w:ilvl="7" w:tplc="8F9CF0CA" w:tentative="1">
      <w:start w:val="1"/>
      <w:numFmt w:val="bullet"/>
      <w:lvlText w:val="o"/>
      <w:lvlJc w:val="left"/>
      <w:pPr>
        <w:ind w:left="5760" w:hanging="360"/>
      </w:pPr>
      <w:rPr>
        <w:rFonts w:ascii="Courier New" w:hAnsi="Courier New" w:cs="Courier New" w:hint="default"/>
      </w:rPr>
    </w:lvl>
    <w:lvl w:ilvl="8" w:tplc="20EA3D2E"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4F98F21C">
      <w:start w:val="1"/>
      <w:numFmt w:val="decimal"/>
      <w:lvlText w:val="%1."/>
      <w:lvlJc w:val="left"/>
      <w:pPr>
        <w:ind w:left="720" w:hanging="360"/>
      </w:pPr>
      <w:rPr>
        <w:rFonts w:hint="default"/>
      </w:rPr>
    </w:lvl>
    <w:lvl w:ilvl="1" w:tplc="AAE80A0E" w:tentative="1">
      <w:start w:val="1"/>
      <w:numFmt w:val="lowerLetter"/>
      <w:lvlText w:val="%2."/>
      <w:lvlJc w:val="left"/>
      <w:pPr>
        <w:ind w:left="1440" w:hanging="360"/>
      </w:pPr>
    </w:lvl>
    <w:lvl w:ilvl="2" w:tplc="F6E2C998" w:tentative="1">
      <w:start w:val="1"/>
      <w:numFmt w:val="lowerRoman"/>
      <w:lvlText w:val="%3."/>
      <w:lvlJc w:val="right"/>
      <w:pPr>
        <w:ind w:left="2160" w:hanging="180"/>
      </w:pPr>
    </w:lvl>
    <w:lvl w:ilvl="3" w:tplc="7706B77E" w:tentative="1">
      <w:start w:val="1"/>
      <w:numFmt w:val="decimal"/>
      <w:lvlText w:val="%4."/>
      <w:lvlJc w:val="left"/>
      <w:pPr>
        <w:ind w:left="2880" w:hanging="360"/>
      </w:pPr>
    </w:lvl>
    <w:lvl w:ilvl="4" w:tplc="F51A7472" w:tentative="1">
      <w:start w:val="1"/>
      <w:numFmt w:val="lowerLetter"/>
      <w:lvlText w:val="%5."/>
      <w:lvlJc w:val="left"/>
      <w:pPr>
        <w:ind w:left="3600" w:hanging="360"/>
      </w:pPr>
    </w:lvl>
    <w:lvl w:ilvl="5" w:tplc="CB4A7F1A" w:tentative="1">
      <w:start w:val="1"/>
      <w:numFmt w:val="lowerRoman"/>
      <w:lvlText w:val="%6."/>
      <w:lvlJc w:val="right"/>
      <w:pPr>
        <w:ind w:left="4320" w:hanging="180"/>
      </w:pPr>
    </w:lvl>
    <w:lvl w:ilvl="6" w:tplc="788E8076" w:tentative="1">
      <w:start w:val="1"/>
      <w:numFmt w:val="decimal"/>
      <w:lvlText w:val="%7."/>
      <w:lvlJc w:val="left"/>
      <w:pPr>
        <w:ind w:left="5040" w:hanging="360"/>
      </w:pPr>
    </w:lvl>
    <w:lvl w:ilvl="7" w:tplc="D3DE86A2" w:tentative="1">
      <w:start w:val="1"/>
      <w:numFmt w:val="lowerLetter"/>
      <w:lvlText w:val="%8."/>
      <w:lvlJc w:val="left"/>
      <w:pPr>
        <w:ind w:left="5760" w:hanging="360"/>
      </w:pPr>
    </w:lvl>
    <w:lvl w:ilvl="8" w:tplc="91BE8DD6"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E6805A4E">
      <w:start w:val="1"/>
      <w:numFmt w:val="bullet"/>
      <w:lvlText w:val=""/>
      <w:lvlJc w:val="left"/>
      <w:pPr>
        <w:ind w:left="720" w:hanging="360"/>
      </w:pPr>
      <w:rPr>
        <w:rFonts w:ascii="Wingdings" w:hAnsi="Wingdings" w:hint="default"/>
      </w:rPr>
    </w:lvl>
    <w:lvl w:ilvl="1" w:tplc="E088448C">
      <w:start w:val="1"/>
      <w:numFmt w:val="bullet"/>
      <w:lvlText w:val=""/>
      <w:lvlJc w:val="left"/>
      <w:pPr>
        <w:ind w:left="1440" w:hanging="360"/>
      </w:pPr>
      <w:rPr>
        <w:rFonts w:ascii="Symbol" w:hAnsi="Symbol" w:hint="default"/>
      </w:rPr>
    </w:lvl>
    <w:lvl w:ilvl="2" w:tplc="0344A574" w:tentative="1">
      <w:start w:val="1"/>
      <w:numFmt w:val="lowerRoman"/>
      <w:lvlText w:val="%3."/>
      <w:lvlJc w:val="right"/>
      <w:pPr>
        <w:ind w:left="2160" w:hanging="180"/>
      </w:pPr>
    </w:lvl>
    <w:lvl w:ilvl="3" w:tplc="DC7AD8D2" w:tentative="1">
      <w:start w:val="1"/>
      <w:numFmt w:val="decimal"/>
      <w:lvlText w:val="%4."/>
      <w:lvlJc w:val="left"/>
      <w:pPr>
        <w:ind w:left="2880" w:hanging="360"/>
      </w:pPr>
    </w:lvl>
    <w:lvl w:ilvl="4" w:tplc="A680212E" w:tentative="1">
      <w:start w:val="1"/>
      <w:numFmt w:val="lowerLetter"/>
      <w:lvlText w:val="%5."/>
      <w:lvlJc w:val="left"/>
      <w:pPr>
        <w:ind w:left="3600" w:hanging="360"/>
      </w:pPr>
    </w:lvl>
    <w:lvl w:ilvl="5" w:tplc="3E827138" w:tentative="1">
      <w:start w:val="1"/>
      <w:numFmt w:val="lowerRoman"/>
      <w:lvlText w:val="%6."/>
      <w:lvlJc w:val="right"/>
      <w:pPr>
        <w:ind w:left="4320" w:hanging="180"/>
      </w:pPr>
    </w:lvl>
    <w:lvl w:ilvl="6" w:tplc="E72C09F0" w:tentative="1">
      <w:start w:val="1"/>
      <w:numFmt w:val="decimal"/>
      <w:lvlText w:val="%7."/>
      <w:lvlJc w:val="left"/>
      <w:pPr>
        <w:ind w:left="5040" w:hanging="360"/>
      </w:pPr>
    </w:lvl>
    <w:lvl w:ilvl="7" w:tplc="BD1A061C" w:tentative="1">
      <w:start w:val="1"/>
      <w:numFmt w:val="lowerLetter"/>
      <w:lvlText w:val="%8."/>
      <w:lvlJc w:val="left"/>
      <w:pPr>
        <w:ind w:left="5760" w:hanging="360"/>
      </w:pPr>
    </w:lvl>
    <w:lvl w:ilvl="8" w:tplc="D054B33C"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B08A48BA">
      <w:start w:val="1"/>
      <w:numFmt w:val="decimal"/>
      <w:lvlText w:val="%1."/>
      <w:lvlJc w:val="left"/>
      <w:pPr>
        <w:tabs>
          <w:tab w:val="num" w:pos="720"/>
        </w:tabs>
        <w:ind w:left="720" w:hanging="360"/>
      </w:pPr>
      <w:rPr>
        <w:rFonts w:hint="default"/>
        <w:b/>
      </w:rPr>
    </w:lvl>
    <w:lvl w:ilvl="1" w:tplc="60CE5550" w:tentative="1">
      <w:start w:val="1"/>
      <w:numFmt w:val="lowerLetter"/>
      <w:lvlText w:val="%2."/>
      <w:lvlJc w:val="left"/>
      <w:pPr>
        <w:tabs>
          <w:tab w:val="num" w:pos="1440"/>
        </w:tabs>
        <w:ind w:left="1440" w:hanging="360"/>
      </w:pPr>
    </w:lvl>
    <w:lvl w:ilvl="2" w:tplc="62548B26" w:tentative="1">
      <w:start w:val="1"/>
      <w:numFmt w:val="lowerRoman"/>
      <w:lvlText w:val="%3."/>
      <w:lvlJc w:val="right"/>
      <w:pPr>
        <w:tabs>
          <w:tab w:val="num" w:pos="2160"/>
        </w:tabs>
        <w:ind w:left="2160" w:hanging="180"/>
      </w:pPr>
    </w:lvl>
    <w:lvl w:ilvl="3" w:tplc="CD28EBA8" w:tentative="1">
      <w:start w:val="1"/>
      <w:numFmt w:val="decimal"/>
      <w:lvlText w:val="%4."/>
      <w:lvlJc w:val="left"/>
      <w:pPr>
        <w:tabs>
          <w:tab w:val="num" w:pos="2880"/>
        </w:tabs>
        <w:ind w:left="2880" w:hanging="360"/>
      </w:pPr>
    </w:lvl>
    <w:lvl w:ilvl="4" w:tplc="233E7146" w:tentative="1">
      <w:start w:val="1"/>
      <w:numFmt w:val="lowerLetter"/>
      <w:lvlText w:val="%5."/>
      <w:lvlJc w:val="left"/>
      <w:pPr>
        <w:tabs>
          <w:tab w:val="num" w:pos="3600"/>
        </w:tabs>
        <w:ind w:left="3600" w:hanging="360"/>
      </w:pPr>
    </w:lvl>
    <w:lvl w:ilvl="5" w:tplc="FF6A34BA" w:tentative="1">
      <w:start w:val="1"/>
      <w:numFmt w:val="lowerRoman"/>
      <w:lvlText w:val="%6."/>
      <w:lvlJc w:val="right"/>
      <w:pPr>
        <w:tabs>
          <w:tab w:val="num" w:pos="4320"/>
        </w:tabs>
        <w:ind w:left="4320" w:hanging="180"/>
      </w:pPr>
    </w:lvl>
    <w:lvl w:ilvl="6" w:tplc="1E4247C8" w:tentative="1">
      <w:start w:val="1"/>
      <w:numFmt w:val="decimal"/>
      <w:lvlText w:val="%7."/>
      <w:lvlJc w:val="left"/>
      <w:pPr>
        <w:tabs>
          <w:tab w:val="num" w:pos="5040"/>
        </w:tabs>
        <w:ind w:left="5040" w:hanging="360"/>
      </w:pPr>
    </w:lvl>
    <w:lvl w:ilvl="7" w:tplc="3FDA225A" w:tentative="1">
      <w:start w:val="1"/>
      <w:numFmt w:val="lowerLetter"/>
      <w:lvlText w:val="%8."/>
      <w:lvlJc w:val="left"/>
      <w:pPr>
        <w:tabs>
          <w:tab w:val="num" w:pos="5760"/>
        </w:tabs>
        <w:ind w:left="5760" w:hanging="360"/>
      </w:pPr>
    </w:lvl>
    <w:lvl w:ilvl="8" w:tplc="28F48FB4"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AB5C5434">
      <w:start w:val="1"/>
      <w:numFmt w:val="bullet"/>
      <w:lvlText w:val=""/>
      <w:lvlJc w:val="left"/>
      <w:pPr>
        <w:ind w:left="720" w:hanging="360"/>
      </w:pPr>
      <w:rPr>
        <w:rFonts w:ascii="Wingdings" w:hAnsi="Wingdings" w:hint="default"/>
      </w:rPr>
    </w:lvl>
    <w:lvl w:ilvl="1" w:tplc="AA98FED8">
      <w:start w:val="1"/>
      <w:numFmt w:val="bullet"/>
      <w:lvlText w:val=""/>
      <w:lvlJc w:val="left"/>
      <w:pPr>
        <w:ind w:left="1440" w:hanging="360"/>
      </w:pPr>
      <w:rPr>
        <w:rFonts w:ascii="Symbol" w:hAnsi="Symbol" w:hint="default"/>
      </w:rPr>
    </w:lvl>
    <w:lvl w:ilvl="2" w:tplc="4B36E3DC" w:tentative="1">
      <w:start w:val="1"/>
      <w:numFmt w:val="lowerRoman"/>
      <w:lvlText w:val="%3."/>
      <w:lvlJc w:val="right"/>
      <w:pPr>
        <w:ind w:left="2160" w:hanging="180"/>
      </w:pPr>
    </w:lvl>
    <w:lvl w:ilvl="3" w:tplc="1846B9A8" w:tentative="1">
      <w:start w:val="1"/>
      <w:numFmt w:val="decimal"/>
      <w:lvlText w:val="%4."/>
      <w:lvlJc w:val="left"/>
      <w:pPr>
        <w:ind w:left="2880" w:hanging="360"/>
      </w:pPr>
    </w:lvl>
    <w:lvl w:ilvl="4" w:tplc="FF7E479C" w:tentative="1">
      <w:start w:val="1"/>
      <w:numFmt w:val="lowerLetter"/>
      <w:lvlText w:val="%5."/>
      <w:lvlJc w:val="left"/>
      <w:pPr>
        <w:ind w:left="3600" w:hanging="360"/>
      </w:pPr>
    </w:lvl>
    <w:lvl w:ilvl="5" w:tplc="93F0C688" w:tentative="1">
      <w:start w:val="1"/>
      <w:numFmt w:val="lowerRoman"/>
      <w:lvlText w:val="%6."/>
      <w:lvlJc w:val="right"/>
      <w:pPr>
        <w:ind w:left="4320" w:hanging="180"/>
      </w:pPr>
    </w:lvl>
    <w:lvl w:ilvl="6" w:tplc="01880D36" w:tentative="1">
      <w:start w:val="1"/>
      <w:numFmt w:val="decimal"/>
      <w:lvlText w:val="%7."/>
      <w:lvlJc w:val="left"/>
      <w:pPr>
        <w:ind w:left="5040" w:hanging="360"/>
      </w:pPr>
    </w:lvl>
    <w:lvl w:ilvl="7" w:tplc="23FCD5A4" w:tentative="1">
      <w:start w:val="1"/>
      <w:numFmt w:val="lowerLetter"/>
      <w:lvlText w:val="%8."/>
      <w:lvlJc w:val="left"/>
      <w:pPr>
        <w:ind w:left="5760" w:hanging="360"/>
      </w:pPr>
    </w:lvl>
    <w:lvl w:ilvl="8" w:tplc="9D86C2F6"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3FA87834">
      <w:start w:val="1"/>
      <w:numFmt w:val="bullet"/>
      <w:lvlText w:val=""/>
      <w:lvlJc w:val="left"/>
      <w:pPr>
        <w:ind w:left="360" w:hanging="360"/>
      </w:pPr>
      <w:rPr>
        <w:rFonts w:ascii="Wingdings 3" w:hAnsi="Wingdings 3" w:hint="default"/>
      </w:rPr>
    </w:lvl>
    <w:lvl w:ilvl="1" w:tplc="FF7038AA" w:tentative="1">
      <w:start w:val="1"/>
      <w:numFmt w:val="bullet"/>
      <w:lvlText w:val="o"/>
      <w:lvlJc w:val="left"/>
      <w:pPr>
        <w:ind w:left="1080" w:hanging="360"/>
      </w:pPr>
      <w:rPr>
        <w:rFonts w:ascii="Courier New" w:hAnsi="Courier New" w:cs="Courier New" w:hint="default"/>
      </w:rPr>
    </w:lvl>
    <w:lvl w:ilvl="2" w:tplc="625A7580" w:tentative="1">
      <w:start w:val="1"/>
      <w:numFmt w:val="bullet"/>
      <w:lvlText w:val=""/>
      <w:lvlJc w:val="left"/>
      <w:pPr>
        <w:ind w:left="1800" w:hanging="360"/>
      </w:pPr>
      <w:rPr>
        <w:rFonts w:ascii="Wingdings" w:hAnsi="Wingdings" w:hint="default"/>
      </w:rPr>
    </w:lvl>
    <w:lvl w:ilvl="3" w:tplc="31D05BC2" w:tentative="1">
      <w:start w:val="1"/>
      <w:numFmt w:val="bullet"/>
      <w:lvlText w:val=""/>
      <w:lvlJc w:val="left"/>
      <w:pPr>
        <w:ind w:left="2520" w:hanging="360"/>
      </w:pPr>
      <w:rPr>
        <w:rFonts w:ascii="Symbol" w:hAnsi="Symbol" w:hint="default"/>
      </w:rPr>
    </w:lvl>
    <w:lvl w:ilvl="4" w:tplc="9232F5D2" w:tentative="1">
      <w:start w:val="1"/>
      <w:numFmt w:val="bullet"/>
      <w:lvlText w:val="o"/>
      <w:lvlJc w:val="left"/>
      <w:pPr>
        <w:ind w:left="3240" w:hanging="360"/>
      </w:pPr>
      <w:rPr>
        <w:rFonts w:ascii="Courier New" w:hAnsi="Courier New" w:cs="Courier New" w:hint="default"/>
      </w:rPr>
    </w:lvl>
    <w:lvl w:ilvl="5" w:tplc="0D001B8C" w:tentative="1">
      <w:start w:val="1"/>
      <w:numFmt w:val="bullet"/>
      <w:lvlText w:val=""/>
      <w:lvlJc w:val="left"/>
      <w:pPr>
        <w:ind w:left="3960" w:hanging="360"/>
      </w:pPr>
      <w:rPr>
        <w:rFonts w:ascii="Wingdings" w:hAnsi="Wingdings" w:hint="default"/>
      </w:rPr>
    </w:lvl>
    <w:lvl w:ilvl="6" w:tplc="255A63CE" w:tentative="1">
      <w:start w:val="1"/>
      <w:numFmt w:val="bullet"/>
      <w:lvlText w:val=""/>
      <w:lvlJc w:val="left"/>
      <w:pPr>
        <w:ind w:left="4680" w:hanging="360"/>
      </w:pPr>
      <w:rPr>
        <w:rFonts w:ascii="Symbol" w:hAnsi="Symbol" w:hint="default"/>
      </w:rPr>
    </w:lvl>
    <w:lvl w:ilvl="7" w:tplc="2D42AF30" w:tentative="1">
      <w:start w:val="1"/>
      <w:numFmt w:val="bullet"/>
      <w:lvlText w:val="o"/>
      <w:lvlJc w:val="left"/>
      <w:pPr>
        <w:ind w:left="5400" w:hanging="360"/>
      </w:pPr>
      <w:rPr>
        <w:rFonts w:ascii="Courier New" w:hAnsi="Courier New" w:cs="Courier New" w:hint="default"/>
      </w:rPr>
    </w:lvl>
    <w:lvl w:ilvl="8" w:tplc="6ECE5300"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922C2750">
      <w:start w:val="1"/>
      <w:numFmt w:val="decimal"/>
      <w:lvlText w:val="%1."/>
      <w:lvlJc w:val="left"/>
      <w:pPr>
        <w:ind w:left="720" w:hanging="360"/>
      </w:pPr>
      <w:rPr>
        <w:rFonts w:ascii="Arial" w:hAnsi="Arial" w:hint="default"/>
      </w:rPr>
    </w:lvl>
    <w:lvl w:ilvl="1" w:tplc="775EBF0C" w:tentative="1">
      <w:start w:val="1"/>
      <w:numFmt w:val="lowerLetter"/>
      <w:lvlText w:val="%2."/>
      <w:lvlJc w:val="left"/>
      <w:pPr>
        <w:ind w:left="1440" w:hanging="360"/>
      </w:pPr>
    </w:lvl>
    <w:lvl w:ilvl="2" w:tplc="AC2C80D4" w:tentative="1">
      <w:start w:val="1"/>
      <w:numFmt w:val="lowerRoman"/>
      <w:lvlText w:val="%3."/>
      <w:lvlJc w:val="right"/>
      <w:pPr>
        <w:ind w:left="2160" w:hanging="180"/>
      </w:pPr>
    </w:lvl>
    <w:lvl w:ilvl="3" w:tplc="B666D528" w:tentative="1">
      <w:start w:val="1"/>
      <w:numFmt w:val="decimal"/>
      <w:lvlText w:val="%4."/>
      <w:lvlJc w:val="left"/>
      <w:pPr>
        <w:ind w:left="2880" w:hanging="360"/>
      </w:pPr>
    </w:lvl>
    <w:lvl w:ilvl="4" w:tplc="1258F980" w:tentative="1">
      <w:start w:val="1"/>
      <w:numFmt w:val="lowerLetter"/>
      <w:lvlText w:val="%5."/>
      <w:lvlJc w:val="left"/>
      <w:pPr>
        <w:ind w:left="3600" w:hanging="360"/>
      </w:pPr>
    </w:lvl>
    <w:lvl w:ilvl="5" w:tplc="369E9438" w:tentative="1">
      <w:start w:val="1"/>
      <w:numFmt w:val="lowerRoman"/>
      <w:lvlText w:val="%6."/>
      <w:lvlJc w:val="right"/>
      <w:pPr>
        <w:ind w:left="4320" w:hanging="180"/>
      </w:pPr>
    </w:lvl>
    <w:lvl w:ilvl="6" w:tplc="B42234E6" w:tentative="1">
      <w:start w:val="1"/>
      <w:numFmt w:val="decimal"/>
      <w:lvlText w:val="%7."/>
      <w:lvlJc w:val="left"/>
      <w:pPr>
        <w:ind w:left="5040" w:hanging="360"/>
      </w:pPr>
    </w:lvl>
    <w:lvl w:ilvl="7" w:tplc="E5069D56" w:tentative="1">
      <w:start w:val="1"/>
      <w:numFmt w:val="lowerLetter"/>
      <w:lvlText w:val="%8."/>
      <w:lvlJc w:val="left"/>
      <w:pPr>
        <w:ind w:left="5760" w:hanging="360"/>
      </w:pPr>
    </w:lvl>
    <w:lvl w:ilvl="8" w:tplc="9C620BF8"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27983A1E">
      <w:start w:val="1"/>
      <w:numFmt w:val="decimal"/>
      <w:lvlText w:val="%1."/>
      <w:lvlJc w:val="left"/>
      <w:pPr>
        <w:ind w:left="720" w:hanging="360"/>
      </w:pPr>
    </w:lvl>
    <w:lvl w:ilvl="1" w:tplc="137CE7D6" w:tentative="1">
      <w:start w:val="1"/>
      <w:numFmt w:val="lowerLetter"/>
      <w:lvlText w:val="%2."/>
      <w:lvlJc w:val="left"/>
      <w:pPr>
        <w:ind w:left="1440" w:hanging="360"/>
      </w:pPr>
    </w:lvl>
    <w:lvl w:ilvl="2" w:tplc="B2421710" w:tentative="1">
      <w:start w:val="1"/>
      <w:numFmt w:val="lowerRoman"/>
      <w:lvlText w:val="%3."/>
      <w:lvlJc w:val="right"/>
      <w:pPr>
        <w:ind w:left="2160" w:hanging="180"/>
      </w:pPr>
    </w:lvl>
    <w:lvl w:ilvl="3" w:tplc="42C4ACC8" w:tentative="1">
      <w:start w:val="1"/>
      <w:numFmt w:val="decimal"/>
      <w:lvlText w:val="%4."/>
      <w:lvlJc w:val="left"/>
      <w:pPr>
        <w:ind w:left="2880" w:hanging="360"/>
      </w:pPr>
    </w:lvl>
    <w:lvl w:ilvl="4" w:tplc="EEBC573A" w:tentative="1">
      <w:start w:val="1"/>
      <w:numFmt w:val="lowerLetter"/>
      <w:lvlText w:val="%5."/>
      <w:lvlJc w:val="left"/>
      <w:pPr>
        <w:ind w:left="3600" w:hanging="360"/>
      </w:pPr>
    </w:lvl>
    <w:lvl w:ilvl="5" w:tplc="E2068E6A" w:tentative="1">
      <w:start w:val="1"/>
      <w:numFmt w:val="lowerRoman"/>
      <w:lvlText w:val="%6."/>
      <w:lvlJc w:val="right"/>
      <w:pPr>
        <w:ind w:left="4320" w:hanging="180"/>
      </w:pPr>
    </w:lvl>
    <w:lvl w:ilvl="6" w:tplc="1986A34C" w:tentative="1">
      <w:start w:val="1"/>
      <w:numFmt w:val="decimal"/>
      <w:lvlText w:val="%7."/>
      <w:lvlJc w:val="left"/>
      <w:pPr>
        <w:ind w:left="5040" w:hanging="360"/>
      </w:pPr>
    </w:lvl>
    <w:lvl w:ilvl="7" w:tplc="3822C20C" w:tentative="1">
      <w:start w:val="1"/>
      <w:numFmt w:val="lowerLetter"/>
      <w:lvlText w:val="%8."/>
      <w:lvlJc w:val="left"/>
      <w:pPr>
        <w:ind w:left="5760" w:hanging="360"/>
      </w:pPr>
    </w:lvl>
    <w:lvl w:ilvl="8" w:tplc="F0C2F7A0"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CEA2A314">
      <w:start w:val="1"/>
      <w:numFmt w:val="decimal"/>
      <w:lvlText w:val="%1."/>
      <w:lvlJc w:val="left"/>
      <w:pPr>
        <w:ind w:left="720" w:hanging="360"/>
      </w:pPr>
      <w:rPr>
        <w:rFonts w:ascii="Arial" w:hAnsi="Arial" w:hint="default"/>
        <w:b/>
        <w:i w:val="0"/>
        <w:color w:val="auto"/>
      </w:rPr>
    </w:lvl>
    <w:lvl w:ilvl="1" w:tplc="BEFC81C8" w:tentative="1">
      <w:start w:val="1"/>
      <w:numFmt w:val="lowerLetter"/>
      <w:lvlText w:val="%2."/>
      <w:lvlJc w:val="left"/>
      <w:pPr>
        <w:ind w:left="1440" w:hanging="360"/>
      </w:pPr>
    </w:lvl>
    <w:lvl w:ilvl="2" w:tplc="3E62BDC8" w:tentative="1">
      <w:start w:val="1"/>
      <w:numFmt w:val="lowerRoman"/>
      <w:lvlText w:val="%3."/>
      <w:lvlJc w:val="right"/>
      <w:pPr>
        <w:ind w:left="2160" w:hanging="180"/>
      </w:pPr>
    </w:lvl>
    <w:lvl w:ilvl="3" w:tplc="465CBF72" w:tentative="1">
      <w:start w:val="1"/>
      <w:numFmt w:val="decimal"/>
      <w:lvlText w:val="%4."/>
      <w:lvlJc w:val="left"/>
      <w:pPr>
        <w:ind w:left="2880" w:hanging="360"/>
      </w:pPr>
    </w:lvl>
    <w:lvl w:ilvl="4" w:tplc="332C95A8" w:tentative="1">
      <w:start w:val="1"/>
      <w:numFmt w:val="lowerLetter"/>
      <w:lvlText w:val="%5."/>
      <w:lvlJc w:val="left"/>
      <w:pPr>
        <w:ind w:left="3600" w:hanging="360"/>
      </w:pPr>
    </w:lvl>
    <w:lvl w:ilvl="5" w:tplc="EE5CF1F0" w:tentative="1">
      <w:start w:val="1"/>
      <w:numFmt w:val="lowerRoman"/>
      <w:lvlText w:val="%6."/>
      <w:lvlJc w:val="right"/>
      <w:pPr>
        <w:ind w:left="4320" w:hanging="180"/>
      </w:pPr>
    </w:lvl>
    <w:lvl w:ilvl="6" w:tplc="46BCF516" w:tentative="1">
      <w:start w:val="1"/>
      <w:numFmt w:val="decimal"/>
      <w:lvlText w:val="%7."/>
      <w:lvlJc w:val="left"/>
      <w:pPr>
        <w:ind w:left="5040" w:hanging="360"/>
      </w:pPr>
    </w:lvl>
    <w:lvl w:ilvl="7" w:tplc="FB881D28" w:tentative="1">
      <w:start w:val="1"/>
      <w:numFmt w:val="lowerLetter"/>
      <w:lvlText w:val="%8."/>
      <w:lvlJc w:val="left"/>
      <w:pPr>
        <w:ind w:left="5760" w:hanging="360"/>
      </w:pPr>
    </w:lvl>
    <w:lvl w:ilvl="8" w:tplc="FE7C689E"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8B"/>
    <w:rsid w:val="003A136A"/>
    <w:rsid w:val="00F1118B"/>
    <w:rsid w:val="00FE0CBF"/>
    <w:rsid w:val="00FF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68152"/>
  <w15:docId w15:val="{D932CEE4-F235-4F0B-B73C-6525EEDA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6B41-2C8F-455B-B7ED-BBC1A4C2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62</TotalTime>
  <Pages>5</Pages>
  <Words>1596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Furber, Tony</cp:lastModifiedBy>
  <cp:revision>13</cp:revision>
  <cp:lastPrinted>2018-03-14T15:24:00Z</cp:lastPrinted>
  <dcterms:created xsi:type="dcterms:W3CDTF">2019-10-29T10:40:00Z</dcterms:created>
  <dcterms:modified xsi:type="dcterms:W3CDTF">2019-11-14T18:02:00Z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Activity Mid-year review 2019/20</vt:lpwstr>
  </property>
  <property fmtid="{D5CDD505-2E9C-101B-9397-08002B2CF9AE}" pid="4" name="LeadDirector">
    <vt:lpwstr>Interim Section 151 Officer</vt:lpwstr>
  </property>
  <property fmtid="{D5CDD505-2E9C-101B-9397-08002B2CF9AE}" pid="5" name="LeadOfficer">
    <vt:lpwstr>Tony Furber</vt:lpwstr>
  </property>
  <property fmtid="{D5CDD505-2E9C-101B-9397-08002B2CF9AE}" pid="6" name="LeadOfficerEmail">
    <vt:lpwstr>tfurber@southribble.gov.uk</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26 November 2019</vt:lpwstr>
  </property>
</Properties>
</file>